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4F7D" w14:textId="2067DB2D" w:rsidR="003679A3" w:rsidRPr="003679A3" w:rsidRDefault="003679A3" w:rsidP="003679A3">
      <w:pPr>
        <w:spacing w:after="0" w:line="240" w:lineRule="auto"/>
        <w:rPr>
          <w:b/>
          <w:bCs/>
        </w:rPr>
      </w:pPr>
      <w:r w:rsidRPr="003679A3">
        <w:rPr>
          <w:b/>
          <w:bCs/>
        </w:rPr>
        <w:t>ITEM 1 –DA-516/2021 – Lot 320-322 Dunkirk Road, Edmondson Park</w:t>
      </w:r>
    </w:p>
    <w:p w14:paraId="193A15C0" w14:textId="77777777" w:rsidR="003679A3" w:rsidRPr="003679A3" w:rsidRDefault="003679A3" w:rsidP="003679A3">
      <w:pPr>
        <w:spacing w:after="0" w:line="240" w:lineRule="auto"/>
        <w:rPr>
          <w:b/>
          <w:bCs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3679A3" w:rsidRPr="003679A3" w14:paraId="3A977C30" w14:textId="77777777" w:rsidTr="000078E6">
        <w:tc>
          <w:tcPr>
            <w:tcW w:w="4248" w:type="dxa"/>
          </w:tcPr>
          <w:p w14:paraId="64612816" w14:textId="77777777" w:rsidR="003679A3" w:rsidRPr="003679A3" w:rsidRDefault="003679A3" w:rsidP="000078E6">
            <w:pPr>
              <w:rPr>
                <w:b/>
                <w:bCs/>
              </w:rPr>
            </w:pPr>
            <w:r w:rsidRPr="003679A3">
              <w:rPr>
                <w:b/>
                <w:bCs/>
              </w:rPr>
              <w:t>DA Number:</w:t>
            </w:r>
          </w:p>
        </w:tc>
        <w:tc>
          <w:tcPr>
            <w:tcW w:w="4768" w:type="dxa"/>
          </w:tcPr>
          <w:p w14:paraId="7E4BBCD0" w14:textId="5A5A4343" w:rsidR="003679A3" w:rsidRPr="003679A3" w:rsidRDefault="003679A3" w:rsidP="000078E6">
            <w:pPr>
              <w:jc w:val="both"/>
              <w:rPr>
                <w:b/>
                <w:bCs/>
              </w:rPr>
            </w:pPr>
            <w:r w:rsidRPr="003679A3">
              <w:t>DA-516/2021</w:t>
            </w:r>
          </w:p>
        </w:tc>
      </w:tr>
      <w:tr w:rsidR="003679A3" w:rsidRPr="003679A3" w14:paraId="2F5734E4" w14:textId="77777777" w:rsidTr="000078E6">
        <w:tc>
          <w:tcPr>
            <w:tcW w:w="4248" w:type="dxa"/>
          </w:tcPr>
          <w:p w14:paraId="60840465" w14:textId="77777777" w:rsidR="003679A3" w:rsidRPr="003679A3" w:rsidRDefault="003679A3" w:rsidP="000078E6">
            <w:pPr>
              <w:rPr>
                <w:b/>
                <w:bCs/>
              </w:rPr>
            </w:pPr>
            <w:r w:rsidRPr="003679A3">
              <w:rPr>
                <w:b/>
                <w:bCs/>
              </w:rPr>
              <w:t>Property Address:</w:t>
            </w:r>
          </w:p>
        </w:tc>
        <w:tc>
          <w:tcPr>
            <w:tcW w:w="4768" w:type="dxa"/>
          </w:tcPr>
          <w:p w14:paraId="5663022C" w14:textId="1B19BEA4" w:rsidR="003679A3" w:rsidRPr="003679A3" w:rsidRDefault="003679A3" w:rsidP="000078E6">
            <w:pPr>
              <w:jc w:val="both"/>
            </w:pPr>
            <w:r w:rsidRPr="003679A3">
              <w:t>Lot 320-322 Dunkirk Road, Edmondson Park Lots 320, 321 &amp; 322 in DP 1257351</w:t>
            </w:r>
          </w:p>
        </w:tc>
      </w:tr>
      <w:tr w:rsidR="003679A3" w:rsidRPr="003679A3" w14:paraId="6F18D741" w14:textId="77777777" w:rsidTr="000078E6">
        <w:tc>
          <w:tcPr>
            <w:tcW w:w="4248" w:type="dxa"/>
          </w:tcPr>
          <w:p w14:paraId="3F94DFAD" w14:textId="77777777" w:rsidR="003679A3" w:rsidRPr="003679A3" w:rsidRDefault="003679A3" w:rsidP="000078E6">
            <w:pPr>
              <w:rPr>
                <w:b/>
                <w:bCs/>
              </w:rPr>
            </w:pPr>
            <w:r w:rsidRPr="003679A3">
              <w:rPr>
                <w:b/>
                <w:bCs/>
              </w:rPr>
              <w:t>Development Category:</w:t>
            </w:r>
          </w:p>
        </w:tc>
        <w:tc>
          <w:tcPr>
            <w:tcW w:w="4768" w:type="dxa"/>
          </w:tcPr>
          <w:p w14:paraId="4D55C950" w14:textId="389D5015" w:rsidR="003679A3" w:rsidRPr="003679A3" w:rsidRDefault="003679A3" w:rsidP="000078E6">
            <w:pPr>
              <w:jc w:val="both"/>
            </w:pPr>
            <w:r w:rsidRPr="003679A3">
              <w:t>Subdivision only</w:t>
            </w:r>
          </w:p>
        </w:tc>
      </w:tr>
      <w:tr w:rsidR="003679A3" w:rsidRPr="003679A3" w14:paraId="345F928B" w14:textId="77777777" w:rsidTr="000078E6">
        <w:tc>
          <w:tcPr>
            <w:tcW w:w="4248" w:type="dxa"/>
          </w:tcPr>
          <w:p w14:paraId="2706C69C" w14:textId="77777777" w:rsidR="003679A3" w:rsidRPr="003679A3" w:rsidRDefault="003679A3" w:rsidP="000078E6">
            <w:pPr>
              <w:rPr>
                <w:b/>
                <w:bCs/>
              </w:rPr>
            </w:pPr>
            <w:r w:rsidRPr="003679A3">
              <w:rPr>
                <w:b/>
                <w:bCs/>
              </w:rPr>
              <w:t>Description:</w:t>
            </w:r>
          </w:p>
        </w:tc>
        <w:tc>
          <w:tcPr>
            <w:tcW w:w="4768" w:type="dxa"/>
          </w:tcPr>
          <w:p w14:paraId="49FE1B06" w14:textId="22F781AF" w:rsidR="003679A3" w:rsidRPr="003679A3" w:rsidRDefault="003679A3" w:rsidP="000078E6">
            <w:pPr>
              <w:jc w:val="both"/>
            </w:pPr>
            <w:r w:rsidRPr="003679A3">
              <w:t xml:space="preserve">Subdivision of 3 residue </w:t>
            </w:r>
            <w:proofErr w:type="spellStart"/>
            <w:r w:rsidRPr="003679A3">
              <w:t>superlots</w:t>
            </w:r>
            <w:proofErr w:type="spellEnd"/>
            <w:r w:rsidRPr="003679A3">
              <w:t xml:space="preserve"> into 23 Torrens Title residential allotments.</w:t>
            </w:r>
          </w:p>
        </w:tc>
      </w:tr>
      <w:tr w:rsidR="003679A3" w:rsidRPr="003679A3" w14:paraId="3BE8A83A" w14:textId="77777777" w:rsidTr="000078E6">
        <w:tc>
          <w:tcPr>
            <w:tcW w:w="4248" w:type="dxa"/>
          </w:tcPr>
          <w:p w14:paraId="51859E69" w14:textId="77777777" w:rsidR="003679A3" w:rsidRPr="003679A3" w:rsidRDefault="003679A3" w:rsidP="000078E6">
            <w:pPr>
              <w:rPr>
                <w:b/>
                <w:bCs/>
              </w:rPr>
            </w:pPr>
            <w:r w:rsidRPr="003679A3">
              <w:rPr>
                <w:b/>
                <w:bCs/>
              </w:rPr>
              <w:t>Environmental Planning Instrument:</w:t>
            </w:r>
          </w:p>
        </w:tc>
        <w:tc>
          <w:tcPr>
            <w:tcW w:w="4768" w:type="dxa"/>
          </w:tcPr>
          <w:p w14:paraId="0E1AF9AA" w14:textId="77777777" w:rsidR="003679A3" w:rsidRPr="003679A3" w:rsidRDefault="003679A3" w:rsidP="000078E6">
            <w:pPr>
              <w:jc w:val="both"/>
            </w:pPr>
            <w:r w:rsidRPr="003679A3">
              <w:t>Liverpool LEP 2008</w:t>
            </w:r>
          </w:p>
        </w:tc>
      </w:tr>
      <w:tr w:rsidR="003679A3" w:rsidRPr="003679A3" w14:paraId="4FC456FE" w14:textId="77777777" w:rsidTr="000078E6">
        <w:tc>
          <w:tcPr>
            <w:tcW w:w="4248" w:type="dxa"/>
          </w:tcPr>
          <w:p w14:paraId="678A9F1F" w14:textId="77777777" w:rsidR="003679A3" w:rsidRPr="00BF7EA8" w:rsidRDefault="003679A3" w:rsidP="000078E6">
            <w:pPr>
              <w:rPr>
                <w:b/>
                <w:bCs/>
              </w:rPr>
            </w:pPr>
            <w:r w:rsidRPr="00BF7EA8">
              <w:rPr>
                <w:b/>
                <w:bCs/>
              </w:rPr>
              <w:t>Zoning of Land:</w:t>
            </w:r>
          </w:p>
        </w:tc>
        <w:tc>
          <w:tcPr>
            <w:tcW w:w="4768" w:type="dxa"/>
          </w:tcPr>
          <w:p w14:paraId="4C07513C" w14:textId="046A174F" w:rsidR="003679A3" w:rsidRPr="003679A3" w:rsidRDefault="003679A3" w:rsidP="000078E6">
            <w:pPr>
              <w:jc w:val="both"/>
            </w:pPr>
            <w:r w:rsidRPr="003679A3">
              <w:t>R1 – General Residential</w:t>
            </w:r>
          </w:p>
        </w:tc>
      </w:tr>
      <w:tr w:rsidR="003679A3" w:rsidRPr="003679A3" w14:paraId="1903AC77" w14:textId="77777777" w:rsidTr="000078E6">
        <w:tc>
          <w:tcPr>
            <w:tcW w:w="4248" w:type="dxa"/>
          </w:tcPr>
          <w:p w14:paraId="3A4A3334" w14:textId="77777777" w:rsidR="003679A3" w:rsidRPr="00BF7EA8" w:rsidRDefault="003679A3" w:rsidP="000078E6">
            <w:pPr>
              <w:rPr>
                <w:b/>
                <w:bCs/>
              </w:rPr>
            </w:pPr>
            <w:r w:rsidRPr="00BF7EA8">
              <w:rPr>
                <w:b/>
                <w:bCs/>
              </w:rPr>
              <w:t>Development Standard Varied:</w:t>
            </w:r>
          </w:p>
        </w:tc>
        <w:tc>
          <w:tcPr>
            <w:tcW w:w="4768" w:type="dxa"/>
          </w:tcPr>
          <w:p w14:paraId="4B9B1F11" w14:textId="770B81FA" w:rsidR="003679A3" w:rsidRPr="003679A3" w:rsidRDefault="003679A3" w:rsidP="000078E6">
            <w:pPr>
              <w:jc w:val="both"/>
            </w:pPr>
            <w:r w:rsidRPr="003679A3">
              <w:t>Clause 4.1 - Minimum Subdivision Lot Size</w:t>
            </w:r>
          </w:p>
        </w:tc>
      </w:tr>
      <w:tr w:rsidR="003679A3" w:rsidRPr="003679A3" w14:paraId="1CF66368" w14:textId="77777777" w:rsidTr="000078E6">
        <w:tc>
          <w:tcPr>
            <w:tcW w:w="4248" w:type="dxa"/>
          </w:tcPr>
          <w:p w14:paraId="3CFC0A2D" w14:textId="77777777" w:rsidR="003679A3" w:rsidRPr="00BF7EA8" w:rsidRDefault="003679A3" w:rsidP="000078E6">
            <w:pPr>
              <w:rPr>
                <w:b/>
                <w:bCs/>
              </w:rPr>
            </w:pPr>
            <w:r w:rsidRPr="00BF7EA8">
              <w:rPr>
                <w:b/>
                <w:bCs/>
              </w:rPr>
              <w:t>Justification of Variation:</w:t>
            </w:r>
          </w:p>
        </w:tc>
        <w:tc>
          <w:tcPr>
            <w:tcW w:w="4768" w:type="dxa"/>
          </w:tcPr>
          <w:p w14:paraId="2C1F3BFD" w14:textId="2E7F5228" w:rsidR="003679A3" w:rsidRPr="00BF7EA8" w:rsidRDefault="003679A3" w:rsidP="000078E6">
            <w:pPr>
              <w:jc w:val="both"/>
            </w:pPr>
            <w:r w:rsidRPr="008E7B8F">
              <w:t xml:space="preserve">The proposed variation to the </w:t>
            </w:r>
            <w:r w:rsidR="008E7B8F" w:rsidRPr="008E7B8F">
              <w:t>minimum lot size</w:t>
            </w:r>
            <w:r w:rsidRPr="008E7B8F">
              <w:t xml:space="preserve"> development standard </w:t>
            </w:r>
            <w:proofErr w:type="gramStart"/>
            <w:r w:rsidRPr="008E7B8F">
              <w:t>is considered to be</w:t>
            </w:r>
            <w:proofErr w:type="gramEnd"/>
            <w:r w:rsidRPr="008E7B8F">
              <w:t xml:space="preserve"> acceptable in this instance, based on the</w:t>
            </w:r>
            <w:r w:rsidR="008E7B8F">
              <w:t xml:space="preserve"> location of the site, layout of the </w:t>
            </w:r>
            <w:r w:rsidR="003A52F2">
              <w:t>subdivision pattern,</w:t>
            </w:r>
            <w:r w:rsidR="008E7B8F">
              <w:t xml:space="preserve"> the straddling of the</w:t>
            </w:r>
            <w:r w:rsidR="003A52F2">
              <w:t xml:space="preserve"> 300sqm and 450sqm</w:t>
            </w:r>
            <w:r w:rsidR="008E7B8F">
              <w:t xml:space="preserve"> minimum lot size boundar</w:t>
            </w:r>
            <w:r w:rsidR="003A52F2">
              <w:t xml:space="preserve">ies within the site and the </w:t>
            </w:r>
            <w:r w:rsidR="00BF7EA8">
              <w:t>development potential of the sites and surrounding area</w:t>
            </w:r>
            <w:r w:rsidRPr="00BF7EA8">
              <w:t>. The objectives of Clause 4.</w:t>
            </w:r>
            <w:r w:rsidR="00BF7EA8" w:rsidRPr="00BF7EA8">
              <w:t>1</w:t>
            </w:r>
            <w:r w:rsidRPr="00BF7EA8">
              <w:t xml:space="preserve"> as well as the </w:t>
            </w:r>
            <w:r w:rsidR="00BF7EA8" w:rsidRPr="00BF7EA8">
              <w:t>R1 General Residential</w:t>
            </w:r>
            <w:r w:rsidRPr="00BF7EA8">
              <w:t xml:space="preserve"> zone would be upheld </w:t>
            </w:r>
            <w:proofErr w:type="gramStart"/>
            <w:r w:rsidRPr="00BF7EA8">
              <w:t>as a result of</w:t>
            </w:r>
            <w:proofErr w:type="gramEnd"/>
            <w:r w:rsidRPr="00BF7EA8">
              <w:t xml:space="preserve"> the proposed development. Therefore, the application of the </w:t>
            </w:r>
            <w:r w:rsidR="00BF7EA8" w:rsidRPr="00BF7EA8">
              <w:t>minimum lot size development</w:t>
            </w:r>
            <w:r w:rsidRPr="00BF7EA8">
              <w:t xml:space="preserve"> standard is considered unreasonable and unnecessary in response to the proposed development.</w:t>
            </w:r>
          </w:p>
          <w:p w14:paraId="454D1201" w14:textId="77777777" w:rsidR="003679A3" w:rsidRPr="003679A3" w:rsidRDefault="003679A3" w:rsidP="000078E6">
            <w:pPr>
              <w:jc w:val="both"/>
              <w:rPr>
                <w:highlight w:val="yellow"/>
              </w:rPr>
            </w:pPr>
          </w:p>
          <w:p w14:paraId="38B899F0" w14:textId="1917F69D" w:rsidR="003679A3" w:rsidRPr="003679A3" w:rsidRDefault="003679A3" w:rsidP="000078E6">
            <w:pPr>
              <w:jc w:val="both"/>
              <w:rPr>
                <w:highlight w:val="yellow"/>
              </w:rPr>
            </w:pPr>
            <w:r w:rsidRPr="008E7B8F">
              <w:t xml:space="preserve">The </w:t>
            </w:r>
            <w:r w:rsidR="008E7B8F" w:rsidRPr="008E7B8F">
              <w:t>Minimum Lot Size</w:t>
            </w:r>
            <w:r w:rsidRPr="008E7B8F">
              <w:t xml:space="preserve"> standard is </w:t>
            </w:r>
            <w:r w:rsidR="008E7B8F" w:rsidRPr="008E7B8F">
              <w:t>450sqm</w:t>
            </w:r>
            <w:r w:rsidRPr="008E7B8F">
              <w:t xml:space="preserve"> for the </w:t>
            </w:r>
            <w:r w:rsidR="008E7B8F" w:rsidRPr="008E7B8F">
              <w:t xml:space="preserve">affected part of the </w:t>
            </w:r>
            <w:r w:rsidRPr="008E7B8F">
              <w:t xml:space="preserve">site, and the application was approved at </w:t>
            </w:r>
            <w:r w:rsidR="008E7B8F" w:rsidRPr="008E7B8F">
              <w:t>300.1sqm</w:t>
            </w:r>
            <w:r w:rsidRPr="008E7B8F">
              <w:t>.</w:t>
            </w:r>
          </w:p>
        </w:tc>
      </w:tr>
      <w:tr w:rsidR="003679A3" w:rsidRPr="003679A3" w14:paraId="5F08BAA3" w14:textId="77777777" w:rsidTr="000078E6">
        <w:tc>
          <w:tcPr>
            <w:tcW w:w="4248" w:type="dxa"/>
          </w:tcPr>
          <w:p w14:paraId="335050BE" w14:textId="77777777" w:rsidR="003679A3" w:rsidRPr="008E7B8F" w:rsidRDefault="003679A3" w:rsidP="000078E6">
            <w:pPr>
              <w:rPr>
                <w:b/>
                <w:bCs/>
              </w:rPr>
            </w:pPr>
            <w:r w:rsidRPr="008E7B8F">
              <w:rPr>
                <w:b/>
                <w:bCs/>
              </w:rPr>
              <w:t>Extent of Variation:</w:t>
            </w:r>
          </w:p>
        </w:tc>
        <w:tc>
          <w:tcPr>
            <w:tcW w:w="4768" w:type="dxa"/>
          </w:tcPr>
          <w:p w14:paraId="2B365933" w14:textId="65926EBF" w:rsidR="003679A3" w:rsidRPr="008E7B8F" w:rsidRDefault="008E7B8F" w:rsidP="000078E6">
            <w:pPr>
              <w:jc w:val="both"/>
            </w:pPr>
            <w:r w:rsidRPr="008E7B8F">
              <w:t>149.9sqm</w:t>
            </w:r>
            <w:r w:rsidR="003679A3" w:rsidRPr="008E7B8F">
              <w:t xml:space="preserve"> / </w:t>
            </w:r>
            <w:r w:rsidRPr="008E7B8F">
              <w:t>33.3</w:t>
            </w:r>
            <w:r w:rsidR="003679A3" w:rsidRPr="008E7B8F">
              <w:t>%</w:t>
            </w:r>
          </w:p>
        </w:tc>
      </w:tr>
      <w:tr w:rsidR="003679A3" w:rsidRPr="003679A3" w14:paraId="74956998" w14:textId="77777777" w:rsidTr="000078E6">
        <w:tc>
          <w:tcPr>
            <w:tcW w:w="4248" w:type="dxa"/>
          </w:tcPr>
          <w:p w14:paraId="6CECF97F" w14:textId="77777777" w:rsidR="003679A3" w:rsidRPr="008E7B8F" w:rsidRDefault="003679A3" w:rsidP="000078E6">
            <w:pPr>
              <w:rPr>
                <w:b/>
                <w:bCs/>
              </w:rPr>
            </w:pPr>
            <w:r w:rsidRPr="008E7B8F">
              <w:rPr>
                <w:b/>
                <w:bCs/>
              </w:rPr>
              <w:t>Concurring Authority:</w:t>
            </w:r>
          </w:p>
        </w:tc>
        <w:tc>
          <w:tcPr>
            <w:tcW w:w="4768" w:type="dxa"/>
          </w:tcPr>
          <w:p w14:paraId="5A2C67C2" w14:textId="77777777" w:rsidR="003679A3" w:rsidRPr="008E7B8F" w:rsidRDefault="003679A3" w:rsidP="000078E6">
            <w:pPr>
              <w:jc w:val="both"/>
            </w:pPr>
            <w:r w:rsidRPr="008E7B8F">
              <w:t>Local Planning Panel under assumed concurrence</w:t>
            </w:r>
          </w:p>
        </w:tc>
      </w:tr>
      <w:tr w:rsidR="003679A3" w14:paraId="31D46966" w14:textId="77777777" w:rsidTr="000078E6">
        <w:tc>
          <w:tcPr>
            <w:tcW w:w="4248" w:type="dxa"/>
          </w:tcPr>
          <w:p w14:paraId="2300F08B" w14:textId="77777777" w:rsidR="003679A3" w:rsidRPr="008E7B8F" w:rsidRDefault="003679A3" w:rsidP="000078E6">
            <w:pPr>
              <w:rPr>
                <w:b/>
                <w:bCs/>
              </w:rPr>
            </w:pPr>
            <w:r w:rsidRPr="008E7B8F">
              <w:rPr>
                <w:b/>
                <w:bCs/>
              </w:rPr>
              <w:t>Date Determined:</w:t>
            </w:r>
          </w:p>
        </w:tc>
        <w:tc>
          <w:tcPr>
            <w:tcW w:w="4768" w:type="dxa"/>
          </w:tcPr>
          <w:p w14:paraId="7618D5F1" w14:textId="3ACB6B52" w:rsidR="003679A3" w:rsidRPr="008E7B8F" w:rsidRDefault="008E7B8F" w:rsidP="000078E6">
            <w:pPr>
              <w:jc w:val="both"/>
            </w:pPr>
            <w:r w:rsidRPr="008E7B8F">
              <w:t>30 May 2022</w:t>
            </w:r>
          </w:p>
        </w:tc>
      </w:tr>
    </w:tbl>
    <w:p w14:paraId="3CDC48CB" w14:textId="77777777" w:rsidR="003679A3" w:rsidRDefault="003679A3" w:rsidP="003679A3">
      <w:pPr>
        <w:spacing w:after="0" w:line="240" w:lineRule="auto"/>
      </w:pPr>
    </w:p>
    <w:p w14:paraId="68DD9E31" w14:textId="4A08B67A" w:rsidR="00A864EC" w:rsidRDefault="00A864EC">
      <w:r>
        <w:br w:type="page"/>
      </w:r>
    </w:p>
    <w:p w14:paraId="4B4D4B53" w14:textId="0BBC983E" w:rsidR="00A864EC" w:rsidRDefault="00A864EC" w:rsidP="007C5AEC">
      <w:pPr>
        <w:spacing w:after="0" w:line="240" w:lineRule="auto"/>
        <w:rPr>
          <w:b/>
          <w:bCs/>
        </w:rPr>
      </w:pPr>
      <w:r w:rsidRPr="003679A3">
        <w:rPr>
          <w:b/>
          <w:bCs/>
        </w:rPr>
        <w:lastRenderedPageBreak/>
        <w:t xml:space="preserve">ITEM </w:t>
      </w:r>
      <w:r>
        <w:rPr>
          <w:b/>
          <w:bCs/>
        </w:rPr>
        <w:t xml:space="preserve">2 </w:t>
      </w:r>
      <w:r w:rsidRPr="003679A3">
        <w:rPr>
          <w:b/>
          <w:bCs/>
        </w:rPr>
        <w:t>–DA-</w:t>
      </w:r>
      <w:r>
        <w:rPr>
          <w:b/>
          <w:bCs/>
        </w:rPr>
        <w:t>241/2021</w:t>
      </w:r>
      <w:r w:rsidRPr="003679A3">
        <w:rPr>
          <w:b/>
          <w:bCs/>
        </w:rPr>
        <w:t xml:space="preserve"> – </w:t>
      </w:r>
      <w:r>
        <w:rPr>
          <w:b/>
          <w:bCs/>
        </w:rPr>
        <w:t xml:space="preserve">1 </w:t>
      </w:r>
      <w:proofErr w:type="spellStart"/>
      <w:r>
        <w:rPr>
          <w:b/>
          <w:bCs/>
        </w:rPr>
        <w:t>Strzlecki</w:t>
      </w:r>
      <w:proofErr w:type="spellEnd"/>
      <w:r>
        <w:rPr>
          <w:b/>
          <w:bCs/>
        </w:rPr>
        <w:t xml:space="preserve"> Drive, Horningsea Park</w:t>
      </w:r>
    </w:p>
    <w:p w14:paraId="5D2949DB" w14:textId="77777777" w:rsidR="007C5AEC" w:rsidRPr="007C5AEC" w:rsidRDefault="007C5AEC" w:rsidP="007C5AEC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A864EC" w:rsidRPr="003679A3" w14:paraId="4CC68C98" w14:textId="77777777" w:rsidTr="00202B19">
        <w:tc>
          <w:tcPr>
            <w:tcW w:w="4248" w:type="dxa"/>
          </w:tcPr>
          <w:p w14:paraId="20883325" w14:textId="57D064C3" w:rsidR="00A864EC" w:rsidRPr="007C5AEC" w:rsidRDefault="00A864EC" w:rsidP="00202B19">
            <w:pPr>
              <w:rPr>
                <w:b/>
                <w:bCs/>
              </w:rPr>
            </w:pPr>
            <w:r w:rsidRPr="007C5AEC">
              <w:rPr>
                <w:b/>
                <w:bCs/>
              </w:rPr>
              <w:t>DA Number:</w:t>
            </w:r>
          </w:p>
        </w:tc>
        <w:tc>
          <w:tcPr>
            <w:tcW w:w="4768" w:type="dxa"/>
          </w:tcPr>
          <w:p w14:paraId="241ECDB6" w14:textId="54F39377" w:rsidR="00A864EC" w:rsidRPr="007C5AEC" w:rsidRDefault="00A864EC" w:rsidP="00202B19">
            <w:pPr>
              <w:jc w:val="both"/>
              <w:rPr>
                <w:b/>
                <w:bCs/>
              </w:rPr>
            </w:pPr>
            <w:r w:rsidRPr="007C5AEC">
              <w:t>DA-</w:t>
            </w:r>
            <w:r w:rsidR="007C5AEC" w:rsidRPr="007C5AEC">
              <w:t>241</w:t>
            </w:r>
            <w:r w:rsidRPr="007C5AEC">
              <w:t>/2021</w:t>
            </w:r>
          </w:p>
        </w:tc>
      </w:tr>
      <w:tr w:rsidR="00A864EC" w:rsidRPr="003679A3" w14:paraId="6B4CEEED" w14:textId="77777777" w:rsidTr="00202B19">
        <w:tc>
          <w:tcPr>
            <w:tcW w:w="4248" w:type="dxa"/>
          </w:tcPr>
          <w:p w14:paraId="780C7603" w14:textId="77777777" w:rsidR="00A864EC" w:rsidRPr="007C5AEC" w:rsidRDefault="00A864EC" w:rsidP="00202B19">
            <w:pPr>
              <w:rPr>
                <w:b/>
                <w:bCs/>
              </w:rPr>
            </w:pPr>
            <w:r w:rsidRPr="007C5AEC">
              <w:rPr>
                <w:b/>
                <w:bCs/>
              </w:rPr>
              <w:t>Property Address:</w:t>
            </w:r>
          </w:p>
        </w:tc>
        <w:tc>
          <w:tcPr>
            <w:tcW w:w="4768" w:type="dxa"/>
          </w:tcPr>
          <w:p w14:paraId="11184648" w14:textId="4A6747B9" w:rsidR="00A864EC" w:rsidRPr="007C5AEC" w:rsidRDefault="007C5AEC" w:rsidP="00202B19">
            <w:pPr>
              <w:jc w:val="both"/>
            </w:pPr>
            <w:r w:rsidRPr="007C5AEC">
              <w:t xml:space="preserve">1 </w:t>
            </w:r>
            <w:proofErr w:type="spellStart"/>
            <w:r w:rsidRPr="007C5AEC">
              <w:t>Strzlecki</w:t>
            </w:r>
            <w:proofErr w:type="spellEnd"/>
            <w:r w:rsidRPr="007C5AEC">
              <w:t xml:space="preserve"> Drive, Horningsea Park</w:t>
            </w:r>
          </w:p>
        </w:tc>
      </w:tr>
      <w:tr w:rsidR="00A864EC" w:rsidRPr="003679A3" w14:paraId="666DEE6D" w14:textId="77777777" w:rsidTr="00202B19">
        <w:tc>
          <w:tcPr>
            <w:tcW w:w="4248" w:type="dxa"/>
          </w:tcPr>
          <w:p w14:paraId="0176F1D6" w14:textId="77777777" w:rsidR="00A864EC" w:rsidRPr="007C5AEC" w:rsidRDefault="00A864EC" w:rsidP="00202B19">
            <w:pPr>
              <w:rPr>
                <w:b/>
                <w:bCs/>
              </w:rPr>
            </w:pPr>
            <w:r w:rsidRPr="007C5AEC">
              <w:rPr>
                <w:b/>
                <w:bCs/>
              </w:rPr>
              <w:t>Development Category:</w:t>
            </w:r>
          </w:p>
        </w:tc>
        <w:tc>
          <w:tcPr>
            <w:tcW w:w="4768" w:type="dxa"/>
          </w:tcPr>
          <w:p w14:paraId="4B285C68" w14:textId="77777777" w:rsidR="00A864EC" w:rsidRPr="007C5AEC" w:rsidRDefault="00A864EC" w:rsidP="00202B19">
            <w:pPr>
              <w:jc w:val="both"/>
            </w:pPr>
            <w:r w:rsidRPr="007C5AEC">
              <w:t>Subdivision only</w:t>
            </w:r>
          </w:p>
        </w:tc>
      </w:tr>
      <w:tr w:rsidR="00A864EC" w:rsidRPr="003679A3" w14:paraId="45DBA9DF" w14:textId="77777777" w:rsidTr="00202B19">
        <w:tc>
          <w:tcPr>
            <w:tcW w:w="4248" w:type="dxa"/>
          </w:tcPr>
          <w:p w14:paraId="2260BF70" w14:textId="77777777" w:rsidR="00A864EC" w:rsidRPr="007C5AEC" w:rsidRDefault="00A864EC" w:rsidP="00202B19">
            <w:pPr>
              <w:rPr>
                <w:b/>
                <w:bCs/>
              </w:rPr>
            </w:pPr>
            <w:r w:rsidRPr="007C5AEC">
              <w:rPr>
                <w:b/>
                <w:bCs/>
              </w:rPr>
              <w:t>Description:</w:t>
            </w:r>
          </w:p>
        </w:tc>
        <w:tc>
          <w:tcPr>
            <w:tcW w:w="4768" w:type="dxa"/>
          </w:tcPr>
          <w:p w14:paraId="749CFE7B" w14:textId="5F767498" w:rsidR="00A864EC" w:rsidRPr="007C5AEC" w:rsidRDefault="007C5AEC" w:rsidP="00202B19">
            <w:pPr>
              <w:jc w:val="both"/>
            </w:pPr>
            <w:r w:rsidRPr="007C5AEC">
              <w:rPr>
                <w:rFonts w:eastAsia="Batang"/>
                <w:bCs/>
              </w:rPr>
              <w:t>Torrens title subdivision of a lot with an existing attached dual occupancy to create a semi-detached dwelling.</w:t>
            </w:r>
          </w:p>
        </w:tc>
      </w:tr>
      <w:tr w:rsidR="00A864EC" w:rsidRPr="003679A3" w14:paraId="2F100E3A" w14:textId="77777777" w:rsidTr="00202B19">
        <w:tc>
          <w:tcPr>
            <w:tcW w:w="4248" w:type="dxa"/>
          </w:tcPr>
          <w:p w14:paraId="1710AD27" w14:textId="77777777" w:rsidR="00A864EC" w:rsidRPr="007C5AEC" w:rsidRDefault="00A864EC" w:rsidP="00202B19">
            <w:pPr>
              <w:rPr>
                <w:b/>
                <w:bCs/>
              </w:rPr>
            </w:pPr>
            <w:r w:rsidRPr="007C5AEC">
              <w:rPr>
                <w:b/>
                <w:bCs/>
              </w:rPr>
              <w:t>Environmental Planning Instrument:</w:t>
            </w:r>
          </w:p>
        </w:tc>
        <w:tc>
          <w:tcPr>
            <w:tcW w:w="4768" w:type="dxa"/>
          </w:tcPr>
          <w:p w14:paraId="75CF5C2D" w14:textId="77777777" w:rsidR="00A864EC" w:rsidRPr="007C5AEC" w:rsidRDefault="00A864EC" w:rsidP="00202B19">
            <w:pPr>
              <w:jc w:val="both"/>
            </w:pPr>
            <w:r w:rsidRPr="007C5AEC">
              <w:t>Liverpool LEP 2008</w:t>
            </w:r>
          </w:p>
        </w:tc>
      </w:tr>
      <w:tr w:rsidR="00A864EC" w:rsidRPr="003679A3" w14:paraId="208B359A" w14:textId="77777777" w:rsidTr="00202B19">
        <w:tc>
          <w:tcPr>
            <w:tcW w:w="4248" w:type="dxa"/>
          </w:tcPr>
          <w:p w14:paraId="15FEA5DC" w14:textId="77777777" w:rsidR="00A864EC" w:rsidRPr="007C5AEC" w:rsidRDefault="00A864EC" w:rsidP="00202B19">
            <w:pPr>
              <w:rPr>
                <w:b/>
                <w:bCs/>
              </w:rPr>
            </w:pPr>
            <w:r w:rsidRPr="007C5AEC">
              <w:rPr>
                <w:b/>
                <w:bCs/>
              </w:rPr>
              <w:t>Zoning of Land:</w:t>
            </w:r>
          </w:p>
        </w:tc>
        <w:tc>
          <w:tcPr>
            <w:tcW w:w="4768" w:type="dxa"/>
          </w:tcPr>
          <w:p w14:paraId="652D93C7" w14:textId="64317EAF" w:rsidR="00A864EC" w:rsidRPr="007C5AEC" w:rsidRDefault="00A864EC" w:rsidP="00202B19">
            <w:pPr>
              <w:jc w:val="both"/>
            </w:pPr>
            <w:r w:rsidRPr="007C5AEC">
              <w:t>R</w:t>
            </w:r>
            <w:r w:rsidR="007C5AEC" w:rsidRPr="007C5AEC">
              <w:t xml:space="preserve">2 Low Density </w:t>
            </w:r>
            <w:r w:rsidRPr="007C5AEC">
              <w:t>Residential</w:t>
            </w:r>
          </w:p>
        </w:tc>
      </w:tr>
      <w:tr w:rsidR="00A864EC" w:rsidRPr="003679A3" w14:paraId="69FD4889" w14:textId="77777777" w:rsidTr="00202B19">
        <w:tc>
          <w:tcPr>
            <w:tcW w:w="4248" w:type="dxa"/>
          </w:tcPr>
          <w:p w14:paraId="17941589" w14:textId="77777777" w:rsidR="00A864EC" w:rsidRPr="007C5AEC" w:rsidRDefault="00A864EC" w:rsidP="00202B19">
            <w:pPr>
              <w:rPr>
                <w:b/>
                <w:bCs/>
              </w:rPr>
            </w:pPr>
            <w:r w:rsidRPr="007C5AEC">
              <w:rPr>
                <w:b/>
                <w:bCs/>
              </w:rPr>
              <w:t>Development Standard Varied:</w:t>
            </w:r>
          </w:p>
        </w:tc>
        <w:tc>
          <w:tcPr>
            <w:tcW w:w="4768" w:type="dxa"/>
          </w:tcPr>
          <w:p w14:paraId="270AF247" w14:textId="08A0C595" w:rsidR="00A864EC" w:rsidRPr="007C5AEC" w:rsidRDefault="00A864EC" w:rsidP="00202B19">
            <w:pPr>
              <w:jc w:val="both"/>
            </w:pPr>
            <w:r w:rsidRPr="007C5AEC">
              <w:t>Clause 4.</w:t>
            </w:r>
            <w:r w:rsidR="007C5AEC" w:rsidRPr="007C5AEC">
              <w:t>4</w:t>
            </w:r>
            <w:r w:rsidRPr="007C5AEC">
              <w:t xml:space="preserve"> </w:t>
            </w:r>
            <w:r w:rsidR="007C5AEC" w:rsidRPr="007C5AEC">
              <w:t>–</w:t>
            </w:r>
            <w:r w:rsidRPr="007C5AEC">
              <w:t xml:space="preserve"> </w:t>
            </w:r>
            <w:r w:rsidR="007C5AEC" w:rsidRPr="007C5AEC">
              <w:t>Floor Space Ratio</w:t>
            </w:r>
          </w:p>
        </w:tc>
      </w:tr>
      <w:tr w:rsidR="00A864EC" w:rsidRPr="003679A3" w14:paraId="496567CF" w14:textId="77777777" w:rsidTr="00202B19">
        <w:tc>
          <w:tcPr>
            <w:tcW w:w="4248" w:type="dxa"/>
          </w:tcPr>
          <w:p w14:paraId="34D49932" w14:textId="77777777" w:rsidR="00A864EC" w:rsidRPr="007C5AEC" w:rsidRDefault="00A864EC" w:rsidP="00202B19">
            <w:pPr>
              <w:rPr>
                <w:b/>
                <w:bCs/>
                <w:highlight w:val="magenta"/>
              </w:rPr>
            </w:pPr>
            <w:r w:rsidRPr="00085E38">
              <w:rPr>
                <w:b/>
                <w:bCs/>
              </w:rPr>
              <w:t>Justification of Variation:</w:t>
            </w:r>
          </w:p>
        </w:tc>
        <w:tc>
          <w:tcPr>
            <w:tcW w:w="4768" w:type="dxa"/>
          </w:tcPr>
          <w:p w14:paraId="5B05DC71" w14:textId="6382F836" w:rsidR="00A864EC" w:rsidRPr="00085E38" w:rsidRDefault="00A864EC" w:rsidP="00202B19">
            <w:pPr>
              <w:jc w:val="both"/>
              <w:rPr>
                <w:highlight w:val="magenta"/>
              </w:rPr>
            </w:pPr>
            <w:r w:rsidRPr="00CC1584">
              <w:t xml:space="preserve">The proposed variation to the </w:t>
            </w:r>
            <w:r w:rsidR="00CC1584" w:rsidRPr="00CC1584">
              <w:t>floor space ratio</w:t>
            </w:r>
            <w:r w:rsidRPr="00CC1584">
              <w:t xml:space="preserve"> development standard </w:t>
            </w:r>
            <w:proofErr w:type="gramStart"/>
            <w:r w:rsidRPr="00116554">
              <w:t>is considered to be</w:t>
            </w:r>
            <w:proofErr w:type="gramEnd"/>
            <w:r w:rsidRPr="00116554">
              <w:t xml:space="preserve"> acceptable in this instance, </w:t>
            </w:r>
            <w:r w:rsidRPr="00085E38">
              <w:t xml:space="preserve">based on </w:t>
            </w:r>
            <w:r w:rsidR="00085E38" w:rsidRPr="00085E38">
              <w:t>the existing built form remaining the same in relation to the available land onsite</w:t>
            </w:r>
            <w:r w:rsidR="00085E38">
              <w:t xml:space="preserve"> and the ability for future re-development to demonstrate full compliance. </w:t>
            </w:r>
            <w:r w:rsidRPr="00116554">
              <w:t>The objectives of Clause 4.</w:t>
            </w:r>
            <w:r w:rsidR="00116554" w:rsidRPr="00116554">
              <w:t>4</w:t>
            </w:r>
            <w:r w:rsidRPr="00116554">
              <w:t xml:space="preserve"> as well as the </w:t>
            </w:r>
            <w:r w:rsidR="00116554" w:rsidRPr="00116554">
              <w:t>R2 Low Density</w:t>
            </w:r>
            <w:r w:rsidRPr="00116554">
              <w:t xml:space="preserve"> Residential zone would </w:t>
            </w:r>
            <w:r w:rsidR="00085E38">
              <w:t xml:space="preserve">also </w:t>
            </w:r>
            <w:r w:rsidRPr="00116554">
              <w:t xml:space="preserve">be upheld </w:t>
            </w:r>
            <w:proofErr w:type="gramStart"/>
            <w:r w:rsidRPr="004F5410">
              <w:t>as a result of</w:t>
            </w:r>
            <w:proofErr w:type="gramEnd"/>
            <w:r w:rsidRPr="004F5410">
              <w:t xml:space="preserve"> the proposed development. Therefore, the application of the </w:t>
            </w:r>
            <w:r w:rsidR="004F5410" w:rsidRPr="004F5410">
              <w:t>floor space ratio</w:t>
            </w:r>
            <w:r w:rsidRPr="004F5410">
              <w:t xml:space="preserve"> development standard is considered unreasonable and unnecessary in response to the proposed development.</w:t>
            </w:r>
          </w:p>
          <w:p w14:paraId="0AE6CD9F" w14:textId="77777777" w:rsidR="00A864EC" w:rsidRPr="007C5AEC" w:rsidRDefault="00A864EC" w:rsidP="00202B19">
            <w:pPr>
              <w:jc w:val="both"/>
              <w:rPr>
                <w:highlight w:val="magenta"/>
              </w:rPr>
            </w:pPr>
          </w:p>
          <w:p w14:paraId="536AF5D2" w14:textId="42B3E962" w:rsidR="00A864EC" w:rsidRPr="007C5AEC" w:rsidRDefault="00A864EC" w:rsidP="00202B19">
            <w:pPr>
              <w:jc w:val="both"/>
              <w:rPr>
                <w:highlight w:val="magenta"/>
              </w:rPr>
            </w:pPr>
            <w:r w:rsidRPr="00CC1584">
              <w:t xml:space="preserve">The </w:t>
            </w:r>
            <w:r w:rsidR="00CC1584" w:rsidRPr="00CC1584">
              <w:t>Floor Space Ratio</w:t>
            </w:r>
            <w:r w:rsidRPr="00CC1584">
              <w:t xml:space="preserve"> standard is </w:t>
            </w:r>
            <w:r w:rsidR="00CC1584" w:rsidRPr="00CC1584">
              <w:t>0.6:1</w:t>
            </w:r>
            <w:r w:rsidRPr="00CC1584">
              <w:t xml:space="preserve"> for the site, and the application was approved at </w:t>
            </w:r>
            <w:r w:rsidR="00CC1584" w:rsidRPr="00CC1584">
              <w:t>Lot 1 – 0.616:1 and Lot 2 – 0.671:1</w:t>
            </w:r>
            <w:r w:rsidRPr="00CC1584">
              <w:t>.</w:t>
            </w:r>
          </w:p>
        </w:tc>
      </w:tr>
      <w:tr w:rsidR="00A864EC" w:rsidRPr="003679A3" w14:paraId="0C931B36" w14:textId="77777777" w:rsidTr="00202B19">
        <w:tc>
          <w:tcPr>
            <w:tcW w:w="4248" w:type="dxa"/>
          </w:tcPr>
          <w:p w14:paraId="524C46F7" w14:textId="77777777" w:rsidR="00A864EC" w:rsidRPr="00116554" w:rsidRDefault="00A864EC" w:rsidP="00202B19">
            <w:pPr>
              <w:rPr>
                <w:b/>
                <w:bCs/>
              </w:rPr>
            </w:pPr>
            <w:r w:rsidRPr="00116554">
              <w:rPr>
                <w:b/>
                <w:bCs/>
              </w:rPr>
              <w:t>Extent of Variation:</w:t>
            </w:r>
          </w:p>
        </w:tc>
        <w:tc>
          <w:tcPr>
            <w:tcW w:w="4768" w:type="dxa"/>
          </w:tcPr>
          <w:p w14:paraId="64D4CAC5" w14:textId="360A78DE" w:rsidR="00A864EC" w:rsidRPr="00116554" w:rsidRDefault="00CC1584" w:rsidP="00202B19">
            <w:pPr>
              <w:jc w:val="both"/>
            </w:pPr>
            <w:r w:rsidRPr="00116554">
              <w:t xml:space="preserve">Lot 1 </w:t>
            </w:r>
            <w:r w:rsidR="004F5410">
              <w:t>–</w:t>
            </w:r>
            <w:r w:rsidRPr="00116554">
              <w:t xml:space="preserve"> </w:t>
            </w:r>
            <w:r w:rsidR="004F5410">
              <w:t>6.99</w:t>
            </w:r>
            <w:r w:rsidR="00A864EC" w:rsidRPr="00116554">
              <w:t xml:space="preserve">sqm / </w:t>
            </w:r>
            <w:r w:rsidRPr="00116554">
              <w:t>2.7</w:t>
            </w:r>
            <w:r w:rsidR="00A864EC" w:rsidRPr="00116554">
              <w:t>%</w:t>
            </w:r>
          </w:p>
          <w:p w14:paraId="534B589B" w14:textId="541179F2" w:rsidR="00CC1584" w:rsidRPr="00116554" w:rsidRDefault="00CC1584" w:rsidP="00202B19">
            <w:pPr>
              <w:jc w:val="both"/>
            </w:pPr>
            <w:r w:rsidRPr="00116554">
              <w:t xml:space="preserve">Lot 2 – </w:t>
            </w:r>
            <w:r w:rsidR="00717377">
              <w:t xml:space="preserve">31.06sqm / </w:t>
            </w:r>
            <w:r w:rsidRPr="00116554">
              <w:t>11.9%</w:t>
            </w:r>
          </w:p>
        </w:tc>
      </w:tr>
      <w:tr w:rsidR="00A864EC" w:rsidRPr="003679A3" w14:paraId="58C72119" w14:textId="77777777" w:rsidTr="00202B19">
        <w:tc>
          <w:tcPr>
            <w:tcW w:w="4248" w:type="dxa"/>
          </w:tcPr>
          <w:p w14:paraId="0287A57C" w14:textId="77777777" w:rsidR="00A864EC" w:rsidRPr="007C5AEC" w:rsidRDefault="00A864EC" w:rsidP="00202B19">
            <w:pPr>
              <w:rPr>
                <w:b/>
                <w:bCs/>
              </w:rPr>
            </w:pPr>
            <w:r w:rsidRPr="007C5AEC">
              <w:rPr>
                <w:b/>
                <w:bCs/>
              </w:rPr>
              <w:t>Concurring Authority:</w:t>
            </w:r>
          </w:p>
        </w:tc>
        <w:tc>
          <w:tcPr>
            <w:tcW w:w="4768" w:type="dxa"/>
          </w:tcPr>
          <w:p w14:paraId="28E448BC" w14:textId="77777777" w:rsidR="00A864EC" w:rsidRPr="007C5AEC" w:rsidRDefault="00A864EC" w:rsidP="00202B19">
            <w:pPr>
              <w:jc w:val="both"/>
            </w:pPr>
            <w:r w:rsidRPr="007C5AEC">
              <w:t>Local Planning Panel under assumed concurrence</w:t>
            </w:r>
          </w:p>
        </w:tc>
      </w:tr>
      <w:tr w:rsidR="00A864EC" w14:paraId="5987F36F" w14:textId="77777777" w:rsidTr="00202B19">
        <w:tc>
          <w:tcPr>
            <w:tcW w:w="4248" w:type="dxa"/>
          </w:tcPr>
          <w:p w14:paraId="6A4DB3E4" w14:textId="77777777" w:rsidR="00A864EC" w:rsidRPr="007C5AEC" w:rsidRDefault="00A864EC" w:rsidP="00202B19">
            <w:pPr>
              <w:rPr>
                <w:b/>
                <w:bCs/>
              </w:rPr>
            </w:pPr>
            <w:r w:rsidRPr="007C5AEC">
              <w:rPr>
                <w:b/>
                <w:bCs/>
              </w:rPr>
              <w:t>Date Determined:</w:t>
            </w:r>
          </w:p>
        </w:tc>
        <w:tc>
          <w:tcPr>
            <w:tcW w:w="4768" w:type="dxa"/>
          </w:tcPr>
          <w:p w14:paraId="41FB1CAD" w14:textId="3F84FA06" w:rsidR="00A864EC" w:rsidRPr="007C5AEC" w:rsidRDefault="007C5AEC" w:rsidP="00202B19">
            <w:pPr>
              <w:jc w:val="both"/>
            </w:pPr>
            <w:r w:rsidRPr="007C5AEC">
              <w:t>26 April</w:t>
            </w:r>
            <w:r w:rsidR="00A864EC" w:rsidRPr="007C5AEC">
              <w:t xml:space="preserve"> 2022</w:t>
            </w:r>
          </w:p>
        </w:tc>
      </w:tr>
    </w:tbl>
    <w:p w14:paraId="70B66687" w14:textId="77777777" w:rsidR="009D032A" w:rsidRDefault="009D032A"/>
    <w:sectPr w:rsidR="009D03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59295" w14:textId="77777777" w:rsidR="00A864EC" w:rsidRDefault="00A864EC" w:rsidP="00A864EC">
      <w:pPr>
        <w:spacing w:after="0" w:line="240" w:lineRule="auto"/>
      </w:pPr>
      <w:r>
        <w:separator/>
      </w:r>
    </w:p>
  </w:endnote>
  <w:endnote w:type="continuationSeparator" w:id="0">
    <w:p w14:paraId="1CE92A15" w14:textId="77777777" w:rsidR="00A864EC" w:rsidRDefault="00A864EC" w:rsidP="00A8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83CFB" w14:textId="77777777" w:rsidR="00A864EC" w:rsidRDefault="00A864EC" w:rsidP="00A864EC">
      <w:pPr>
        <w:spacing w:after="0" w:line="240" w:lineRule="auto"/>
      </w:pPr>
      <w:r>
        <w:separator/>
      </w:r>
    </w:p>
  </w:footnote>
  <w:footnote w:type="continuationSeparator" w:id="0">
    <w:p w14:paraId="11445F17" w14:textId="77777777" w:rsidR="00A864EC" w:rsidRDefault="00A864EC" w:rsidP="00A8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9B103" w14:textId="77777777" w:rsidR="00785E2B" w:rsidRDefault="00785E2B" w:rsidP="00785E2B">
    <w:pPr>
      <w:spacing w:after="0" w:line="240" w:lineRule="auto"/>
      <w:jc w:val="center"/>
      <w:rPr>
        <w:b/>
        <w:bCs/>
      </w:rPr>
    </w:pPr>
    <w:r>
      <w:rPr>
        <w:b/>
        <w:bCs/>
      </w:rPr>
      <w:t>ATTACHMENT 1 – CLAUSE 4.6 VARIATION REGISTER</w:t>
    </w:r>
  </w:p>
  <w:p w14:paraId="72F8B3DA" w14:textId="2289EBED" w:rsidR="00785E2B" w:rsidRDefault="00785E2B" w:rsidP="00785E2B">
    <w:pPr>
      <w:pStyle w:val="Header"/>
    </w:pPr>
    <w:r>
      <w:tab/>
    </w:r>
    <w:r w:rsidR="00624A1B">
      <w:t>Apr</w:t>
    </w:r>
    <w:r>
      <w:t xml:space="preserve">, </w:t>
    </w:r>
    <w:r w:rsidR="00624A1B">
      <w:t>May</w:t>
    </w:r>
    <w:r>
      <w:t xml:space="preserve">, </w:t>
    </w:r>
    <w:r w:rsidR="00624A1B">
      <w:t xml:space="preserve">Jun </w:t>
    </w:r>
    <w:r>
      <w:t>202</w:t>
    </w:r>
    <w:r w:rsidR="00624A1B">
      <w:t>2</w:t>
    </w:r>
  </w:p>
  <w:p w14:paraId="17105E5D" w14:textId="77777777" w:rsidR="00785E2B" w:rsidRDefault="00785E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A3"/>
    <w:rsid w:val="00085E38"/>
    <w:rsid w:val="00116554"/>
    <w:rsid w:val="003679A3"/>
    <w:rsid w:val="003A52F2"/>
    <w:rsid w:val="004F5410"/>
    <w:rsid w:val="00624A1B"/>
    <w:rsid w:val="00717377"/>
    <w:rsid w:val="00785E2B"/>
    <w:rsid w:val="007C5AEC"/>
    <w:rsid w:val="008E7B8F"/>
    <w:rsid w:val="009D032A"/>
    <w:rsid w:val="00A864EC"/>
    <w:rsid w:val="00B360CF"/>
    <w:rsid w:val="00BF7EA8"/>
    <w:rsid w:val="00CC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86C9B"/>
  <w15:chartTrackingRefBased/>
  <w15:docId w15:val="{AE5F1C6A-4E84-411E-AADC-E4D72042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9A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9A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4E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6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4E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D8C53E19B72469202073DE95C7F86" ma:contentTypeVersion="17" ma:contentTypeDescription="Create a new document." ma:contentTypeScope="" ma:versionID="6d19e90f11009f04115f011d4479086d">
  <xsd:schema xmlns:xsd="http://www.w3.org/2001/XMLSchema" xmlns:xs="http://www.w3.org/2001/XMLSchema" xmlns:p="http://schemas.microsoft.com/office/2006/metadata/properties" xmlns:ns2="de4f76c9-e4f0-4368-89f7-cab91bb636dd" xmlns:ns3="5e7380f5-b259-4a71-9b78-281d7d43365e" targetNamespace="http://schemas.microsoft.com/office/2006/metadata/properties" ma:root="true" ma:fieldsID="b77eba2c6bba8a8c8fcb7a0c14ec87e4" ns2:_="" ns3:_="">
    <xsd:import namespace="de4f76c9-e4f0-4368-89f7-cab91bb636dd"/>
    <xsd:import namespace="5e7380f5-b259-4a71-9b78-281d7d433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f76c9-e4f0-4368-89f7-cab91bb63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522178-5f4f-4c61-9f4a-f1958e3c0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380f5-b259-4a71-9b78-281d7d4336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026f79-98a3-45d8-9336-8fba9c34feac}" ma:internalName="TaxCatchAll" ma:showField="CatchAllData" ma:web="5e7380f5-b259-4a71-9b78-281d7d433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619191-A86A-4DF0-AD93-0A39EA91A23D}"/>
</file>

<file path=customXml/itemProps2.xml><?xml version="1.0" encoding="utf-8"?>
<ds:datastoreItem xmlns:ds="http://schemas.openxmlformats.org/officeDocument/2006/customXml" ds:itemID="{85E5FC6A-7DDE-4831-A579-8644FF10AF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2356</Characters>
  <Application>Microsoft Office Word</Application>
  <DocSecurity>0</DocSecurity>
  <Lines>94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Micallef</dc:creator>
  <cp:keywords/>
  <dc:description/>
  <cp:lastModifiedBy>Sharon Zunic</cp:lastModifiedBy>
  <cp:revision>4</cp:revision>
  <dcterms:created xsi:type="dcterms:W3CDTF">2022-07-04T05:30:00Z</dcterms:created>
  <dcterms:modified xsi:type="dcterms:W3CDTF">2022-07-05T01:07:00Z</dcterms:modified>
</cp:coreProperties>
</file>