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94AD8" w14:textId="0F5DFC9B" w:rsidR="001B667D" w:rsidRPr="003628E8" w:rsidRDefault="001B667D" w:rsidP="00080B43">
      <w:pPr>
        <w:spacing w:after="0" w:line="240" w:lineRule="auto"/>
        <w:rPr>
          <w:b/>
          <w:bCs/>
        </w:rPr>
      </w:pPr>
      <w:r w:rsidRPr="003628E8">
        <w:rPr>
          <w:b/>
          <w:bCs/>
        </w:rPr>
        <w:t xml:space="preserve">ITEM </w:t>
      </w:r>
      <w:r w:rsidR="00CD0AE2">
        <w:rPr>
          <w:b/>
          <w:bCs/>
        </w:rPr>
        <w:t>1</w:t>
      </w:r>
      <w:r w:rsidRPr="003628E8">
        <w:rPr>
          <w:b/>
          <w:bCs/>
        </w:rPr>
        <w:t xml:space="preserve"> – DA-1</w:t>
      </w:r>
      <w:r>
        <w:rPr>
          <w:b/>
          <w:bCs/>
        </w:rPr>
        <w:t>82</w:t>
      </w:r>
      <w:r w:rsidRPr="003628E8">
        <w:rPr>
          <w:b/>
          <w:bCs/>
        </w:rPr>
        <w:t xml:space="preserve">/2021 – </w:t>
      </w:r>
      <w:r>
        <w:rPr>
          <w:b/>
          <w:bCs/>
        </w:rPr>
        <w:t>Lot 231 Changsha Road, Edmondson Park</w:t>
      </w:r>
    </w:p>
    <w:p w14:paraId="67E928EB" w14:textId="77777777" w:rsidR="001B667D" w:rsidRPr="003628E8" w:rsidRDefault="001B667D" w:rsidP="00080B43">
      <w:pPr>
        <w:spacing w:after="0" w:line="240" w:lineRule="auto"/>
        <w:rPr>
          <w:b/>
          <w:bCs/>
        </w:rPr>
      </w:pPr>
    </w:p>
    <w:tbl>
      <w:tblPr>
        <w:tblStyle w:val="TableGrid"/>
        <w:tblW w:w="0" w:type="auto"/>
        <w:tblLook w:val="04A0" w:firstRow="1" w:lastRow="0" w:firstColumn="1" w:lastColumn="0" w:noHBand="0" w:noVBand="1"/>
      </w:tblPr>
      <w:tblGrid>
        <w:gridCol w:w="2830"/>
        <w:gridCol w:w="6186"/>
      </w:tblGrid>
      <w:tr w:rsidR="001B667D" w:rsidRPr="003628E8" w14:paraId="60868EAE" w14:textId="77777777" w:rsidTr="00BC6F97">
        <w:tc>
          <w:tcPr>
            <w:tcW w:w="2830" w:type="dxa"/>
          </w:tcPr>
          <w:p w14:paraId="76D3A126" w14:textId="77777777" w:rsidR="001B667D" w:rsidRPr="003628E8" w:rsidRDefault="001B667D" w:rsidP="00080B43">
            <w:pPr>
              <w:rPr>
                <w:b/>
                <w:bCs/>
              </w:rPr>
            </w:pPr>
            <w:r w:rsidRPr="003628E8">
              <w:rPr>
                <w:b/>
                <w:bCs/>
              </w:rPr>
              <w:t>DA Number:</w:t>
            </w:r>
          </w:p>
        </w:tc>
        <w:tc>
          <w:tcPr>
            <w:tcW w:w="6186" w:type="dxa"/>
          </w:tcPr>
          <w:p w14:paraId="2FDA3095" w14:textId="075ED308" w:rsidR="001B667D" w:rsidRPr="003628E8" w:rsidRDefault="001B667D" w:rsidP="00080B43">
            <w:pPr>
              <w:jc w:val="both"/>
              <w:rPr>
                <w:b/>
                <w:bCs/>
              </w:rPr>
            </w:pPr>
            <w:r w:rsidRPr="003628E8">
              <w:t>DA-</w:t>
            </w:r>
            <w:r>
              <w:t>182</w:t>
            </w:r>
            <w:r w:rsidRPr="003628E8">
              <w:t>/2021</w:t>
            </w:r>
          </w:p>
        </w:tc>
      </w:tr>
      <w:tr w:rsidR="001B667D" w:rsidRPr="003628E8" w14:paraId="4A9E6EE4" w14:textId="77777777" w:rsidTr="00BC6F97">
        <w:tc>
          <w:tcPr>
            <w:tcW w:w="2830" w:type="dxa"/>
          </w:tcPr>
          <w:p w14:paraId="251C9F26" w14:textId="77777777" w:rsidR="001B667D" w:rsidRPr="003628E8" w:rsidRDefault="001B667D" w:rsidP="00080B43">
            <w:pPr>
              <w:rPr>
                <w:b/>
                <w:bCs/>
              </w:rPr>
            </w:pPr>
            <w:r w:rsidRPr="003628E8">
              <w:rPr>
                <w:b/>
                <w:bCs/>
              </w:rPr>
              <w:t>Property Address:</w:t>
            </w:r>
          </w:p>
        </w:tc>
        <w:tc>
          <w:tcPr>
            <w:tcW w:w="6186" w:type="dxa"/>
          </w:tcPr>
          <w:p w14:paraId="56124AE5" w14:textId="1DD749C7" w:rsidR="001B667D" w:rsidRPr="003628E8" w:rsidRDefault="001B667D" w:rsidP="00080B43">
            <w:pPr>
              <w:jc w:val="both"/>
            </w:pPr>
            <w:r>
              <w:t>Lot 231 Changsha Road, Edmondson Park</w:t>
            </w:r>
          </w:p>
          <w:p w14:paraId="16D02815" w14:textId="531E1185" w:rsidR="001B667D" w:rsidRPr="003628E8" w:rsidRDefault="001B667D" w:rsidP="00080B43">
            <w:pPr>
              <w:jc w:val="both"/>
            </w:pPr>
            <w:r w:rsidRPr="003628E8">
              <w:t>Lot</w:t>
            </w:r>
            <w:r>
              <w:t xml:space="preserve"> 231 DP 1287558</w:t>
            </w:r>
          </w:p>
        </w:tc>
      </w:tr>
      <w:tr w:rsidR="001B667D" w:rsidRPr="003628E8" w14:paraId="333CDE70" w14:textId="77777777" w:rsidTr="00BC6F97">
        <w:tc>
          <w:tcPr>
            <w:tcW w:w="2830" w:type="dxa"/>
          </w:tcPr>
          <w:p w14:paraId="3B1102AF" w14:textId="77777777" w:rsidR="001B667D" w:rsidRPr="003628E8" w:rsidRDefault="001B667D" w:rsidP="00080B43">
            <w:pPr>
              <w:rPr>
                <w:b/>
                <w:bCs/>
              </w:rPr>
            </w:pPr>
            <w:r w:rsidRPr="003628E8">
              <w:rPr>
                <w:b/>
                <w:bCs/>
              </w:rPr>
              <w:t>Development Category:</w:t>
            </w:r>
          </w:p>
        </w:tc>
        <w:tc>
          <w:tcPr>
            <w:tcW w:w="6186" w:type="dxa"/>
          </w:tcPr>
          <w:p w14:paraId="16A0D5F5" w14:textId="77777777" w:rsidR="001B667D" w:rsidRPr="003628E8" w:rsidRDefault="001B667D" w:rsidP="00080B43">
            <w:pPr>
              <w:jc w:val="both"/>
            </w:pPr>
            <w:r w:rsidRPr="003628E8">
              <w:t>Residential</w:t>
            </w:r>
          </w:p>
        </w:tc>
      </w:tr>
      <w:tr w:rsidR="001B667D" w:rsidRPr="003628E8" w14:paraId="1221904E" w14:textId="77777777" w:rsidTr="00BC6F97">
        <w:tc>
          <w:tcPr>
            <w:tcW w:w="2830" w:type="dxa"/>
          </w:tcPr>
          <w:p w14:paraId="412E3EA3" w14:textId="77777777" w:rsidR="001B667D" w:rsidRPr="003628E8" w:rsidRDefault="001B667D" w:rsidP="00080B43">
            <w:pPr>
              <w:rPr>
                <w:b/>
                <w:bCs/>
              </w:rPr>
            </w:pPr>
            <w:r w:rsidRPr="003628E8">
              <w:rPr>
                <w:b/>
                <w:bCs/>
              </w:rPr>
              <w:t>Description:</w:t>
            </w:r>
          </w:p>
        </w:tc>
        <w:tc>
          <w:tcPr>
            <w:tcW w:w="6186" w:type="dxa"/>
          </w:tcPr>
          <w:p w14:paraId="109A02FE" w14:textId="590729F4" w:rsidR="001B667D" w:rsidRPr="001B667D" w:rsidRDefault="001B667D" w:rsidP="00080B43">
            <w:pPr>
              <w:jc w:val="both"/>
              <w:rPr>
                <w:rFonts w:eastAsia="Arial"/>
              </w:rPr>
            </w:pPr>
            <w:r w:rsidRPr="001B667D">
              <w:rPr>
                <w:rFonts w:eastAsia="Arial"/>
              </w:rPr>
              <w:t>Torrens Title subdivision into two Super-Lots (Lots 201 &amp; 202) of the</w:t>
            </w:r>
            <w:r>
              <w:rPr>
                <w:rFonts w:eastAsia="Arial"/>
              </w:rPr>
              <w:t xml:space="preserve"> </w:t>
            </w:r>
            <w:r w:rsidRPr="001B667D">
              <w:rPr>
                <w:rFonts w:eastAsia="Arial"/>
              </w:rPr>
              <w:t>current Lot 231 Changsha Road, Edmondson Park including:</w:t>
            </w:r>
          </w:p>
          <w:p w14:paraId="0C9C0C29" w14:textId="5DAEA33B" w:rsidR="001B667D" w:rsidRPr="001B667D" w:rsidRDefault="001B667D" w:rsidP="00080B43">
            <w:pPr>
              <w:pStyle w:val="ListParagraph"/>
              <w:numPr>
                <w:ilvl w:val="0"/>
                <w:numId w:val="5"/>
              </w:numPr>
              <w:ind w:left="462"/>
              <w:jc w:val="both"/>
              <w:rPr>
                <w:rFonts w:eastAsia="Arial"/>
              </w:rPr>
            </w:pPr>
            <w:r w:rsidRPr="001B667D">
              <w:rPr>
                <w:rFonts w:eastAsia="Arial"/>
              </w:rPr>
              <w:t>Construction of the southern extension of Arnhem Road to the future intersection of Ardennes Road along the eastern boundary of proposed future Super-Lot 201; and</w:t>
            </w:r>
          </w:p>
          <w:p w14:paraId="2625C5CA" w14:textId="089A5CE9" w:rsidR="001B667D" w:rsidRPr="003628E8" w:rsidRDefault="001B667D" w:rsidP="00080B43">
            <w:pPr>
              <w:pStyle w:val="ListParagraph"/>
              <w:numPr>
                <w:ilvl w:val="0"/>
                <w:numId w:val="5"/>
              </w:numPr>
              <w:ind w:left="462"/>
              <w:jc w:val="both"/>
            </w:pPr>
            <w:r w:rsidRPr="001B667D">
              <w:rPr>
                <w:rFonts w:eastAsia="Arial"/>
              </w:rPr>
              <w:t>Construction of Ardennes Road along the southern boundary of future Super-Lots 201 and 202.</w:t>
            </w:r>
          </w:p>
        </w:tc>
      </w:tr>
      <w:tr w:rsidR="001B667D" w:rsidRPr="003628E8" w14:paraId="707FBE55" w14:textId="77777777" w:rsidTr="00BC6F97">
        <w:tc>
          <w:tcPr>
            <w:tcW w:w="2830" w:type="dxa"/>
          </w:tcPr>
          <w:p w14:paraId="2CA9C379" w14:textId="77777777" w:rsidR="001B667D" w:rsidRPr="003628E8" w:rsidRDefault="001B667D" w:rsidP="00080B43">
            <w:pPr>
              <w:rPr>
                <w:b/>
                <w:bCs/>
              </w:rPr>
            </w:pPr>
            <w:r w:rsidRPr="003628E8">
              <w:rPr>
                <w:b/>
                <w:bCs/>
              </w:rPr>
              <w:t>Environmental Planning Instrument:</w:t>
            </w:r>
          </w:p>
        </w:tc>
        <w:tc>
          <w:tcPr>
            <w:tcW w:w="6186" w:type="dxa"/>
          </w:tcPr>
          <w:p w14:paraId="07BCC936" w14:textId="77777777" w:rsidR="001B667D" w:rsidRPr="003628E8" w:rsidRDefault="001B667D" w:rsidP="00080B43">
            <w:pPr>
              <w:jc w:val="both"/>
            </w:pPr>
            <w:r w:rsidRPr="003628E8">
              <w:t>Liverpool LEP 2008</w:t>
            </w:r>
          </w:p>
        </w:tc>
      </w:tr>
      <w:tr w:rsidR="001B667D" w:rsidRPr="003628E8" w14:paraId="7963ABF5" w14:textId="77777777" w:rsidTr="00BC6F97">
        <w:tc>
          <w:tcPr>
            <w:tcW w:w="2830" w:type="dxa"/>
          </w:tcPr>
          <w:p w14:paraId="6FB5B90A" w14:textId="77777777" w:rsidR="001B667D" w:rsidRPr="003628E8" w:rsidRDefault="001B667D" w:rsidP="00080B43">
            <w:pPr>
              <w:rPr>
                <w:b/>
                <w:bCs/>
              </w:rPr>
            </w:pPr>
            <w:r w:rsidRPr="003628E8">
              <w:rPr>
                <w:b/>
                <w:bCs/>
              </w:rPr>
              <w:t>Zoning of Land:</w:t>
            </w:r>
          </w:p>
        </w:tc>
        <w:tc>
          <w:tcPr>
            <w:tcW w:w="6186" w:type="dxa"/>
          </w:tcPr>
          <w:p w14:paraId="29889FB5" w14:textId="047ECC24" w:rsidR="001B667D" w:rsidRPr="003628E8" w:rsidRDefault="001B667D" w:rsidP="00080B43">
            <w:pPr>
              <w:jc w:val="both"/>
            </w:pPr>
            <w:r>
              <w:t>R1 – General Residential &amp; SP2 - Infrastructure</w:t>
            </w:r>
          </w:p>
        </w:tc>
      </w:tr>
      <w:tr w:rsidR="001B667D" w:rsidRPr="003628E8" w14:paraId="55911DA1" w14:textId="77777777" w:rsidTr="00BC6F97">
        <w:tc>
          <w:tcPr>
            <w:tcW w:w="2830" w:type="dxa"/>
          </w:tcPr>
          <w:p w14:paraId="7FC8C199" w14:textId="77777777" w:rsidR="001B667D" w:rsidRPr="003628E8" w:rsidRDefault="001B667D" w:rsidP="00080B43">
            <w:pPr>
              <w:rPr>
                <w:b/>
                <w:bCs/>
              </w:rPr>
            </w:pPr>
            <w:r w:rsidRPr="003628E8">
              <w:rPr>
                <w:b/>
                <w:bCs/>
              </w:rPr>
              <w:t>Development Standard Varied:</w:t>
            </w:r>
          </w:p>
        </w:tc>
        <w:tc>
          <w:tcPr>
            <w:tcW w:w="6186" w:type="dxa"/>
          </w:tcPr>
          <w:p w14:paraId="53B8047D" w14:textId="3ED14FC9" w:rsidR="001B667D" w:rsidRPr="003628E8" w:rsidRDefault="001B667D" w:rsidP="00080B43">
            <w:pPr>
              <w:jc w:val="both"/>
            </w:pPr>
            <w:r>
              <w:t>Clause 7.11 – Minimum Dwelling Density</w:t>
            </w:r>
          </w:p>
        </w:tc>
      </w:tr>
      <w:tr w:rsidR="001B667D" w:rsidRPr="003628E8" w14:paraId="2F9ED4A2" w14:textId="77777777" w:rsidTr="00BC6F97">
        <w:tc>
          <w:tcPr>
            <w:tcW w:w="2830" w:type="dxa"/>
          </w:tcPr>
          <w:p w14:paraId="3B2A8ABF" w14:textId="77777777" w:rsidR="001B667D" w:rsidRPr="00BC6F97" w:rsidRDefault="001B667D" w:rsidP="00080B43">
            <w:pPr>
              <w:rPr>
                <w:b/>
                <w:bCs/>
              </w:rPr>
            </w:pPr>
            <w:r w:rsidRPr="00BC6F97">
              <w:rPr>
                <w:b/>
                <w:bCs/>
              </w:rPr>
              <w:t>Justification of Variation:</w:t>
            </w:r>
          </w:p>
        </w:tc>
        <w:tc>
          <w:tcPr>
            <w:tcW w:w="6186" w:type="dxa"/>
          </w:tcPr>
          <w:p w14:paraId="36DBF371" w14:textId="3F35CD3F" w:rsidR="001B667D" w:rsidRPr="00BC6F97" w:rsidRDefault="001B667D" w:rsidP="00080B43">
            <w:pPr>
              <w:jc w:val="both"/>
            </w:pPr>
            <w:r w:rsidRPr="00BC6F97">
              <w:t xml:space="preserve">The proposed variation to the minimum dwelling density development standard </w:t>
            </w:r>
            <w:r w:rsidR="002E5B40">
              <w:t>was considered</w:t>
            </w:r>
            <w:r w:rsidRPr="00BC6F97">
              <w:t xml:space="preserve"> acceptable in this instance as strict compliance </w:t>
            </w:r>
            <w:r w:rsidR="002E5B40">
              <w:t>wa</w:t>
            </w:r>
            <w:r w:rsidRPr="00BC6F97">
              <w:t xml:space="preserve">s unlikely to reduce any impacts considered to be unreasonable or unnecessary in the circumstances. The proposed subdivision </w:t>
            </w:r>
            <w:r w:rsidR="002E5B40">
              <w:t>was</w:t>
            </w:r>
            <w:r w:rsidRPr="00BC6F97">
              <w:t xml:space="preserve"> for 2 super-lots as well as civil works for roads and drainage, which </w:t>
            </w:r>
            <w:r w:rsidR="002E5B40">
              <w:t>wa</w:t>
            </w:r>
            <w:r w:rsidR="00793E69">
              <w:t>s designed to</w:t>
            </w:r>
            <w:r w:rsidRPr="00BC6F97">
              <w:t xml:space="preserve"> facilitate future residential development</w:t>
            </w:r>
            <w:r w:rsidR="00BC6F97" w:rsidRPr="00BC6F97">
              <w:t xml:space="preserve">. In this case, a development application for residential flat buildings has been lodged which </w:t>
            </w:r>
            <w:r w:rsidR="002E5B40">
              <w:t>allowed</w:t>
            </w:r>
            <w:r w:rsidR="00BC6F97" w:rsidRPr="00BC6F97">
              <w:t xml:space="preserve"> for the minimum dwelling density to be achieved. The development enables a subdivision pattern that is in the context of the area and is consistent with the minimum lot size and width requirements. The development proposes residential lots that can accommodate dwellings and achieve appropriate amenity based on full compliance with relevant state and local policies. </w:t>
            </w:r>
          </w:p>
          <w:p w14:paraId="1FD85163" w14:textId="77777777" w:rsidR="001B667D" w:rsidRPr="00BC6F97" w:rsidRDefault="001B667D" w:rsidP="00080B43">
            <w:pPr>
              <w:jc w:val="both"/>
            </w:pPr>
          </w:p>
          <w:p w14:paraId="295A7051" w14:textId="3E173136" w:rsidR="001B667D" w:rsidRPr="00BC6F97" w:rsidRDefault="001B667D" w:rsidP="00080B43">
            <w:pPr>
              <w:jc w:val="both"/>
            </w:pPr>
            <w:r w:rsidRPr="00BC6F97">
              <w:t xml:space="preserve">The objectives of Clause 7.11 as well as the R1 - General Residential zone </w:t>
            </w:r>
            <w:r w:rsidR="00793E69">
              <w:t>were</w:t>
            </w:r>
            <w:r w:rsidRPr="00BC6F97">
              <w:t xml:space="preserve"> upheld as a result of the proposed development and the proposal </w:t>
            </w:r>
            <w:r w:rsidR="00832734">
              <w:t>was</w:t>
            </w:r>
            <w:r w:rsidRPr="00BC6F97">
              <w:t xml:space="preserve"> considered to be in the public interest.</w:t>
            </w:r>
          </w:p>
          <w:p w14:paraId="0D939BE3" w14:textId="77777777" w:rsidR="001B667D" w:rsidRPr="00BC6F97" w:rsidRDefault="001B667D" w:rsidP="00080B43">
            <w:pPr>
              <w:jc w:val="both"/>
            </w:pPr>
          </w:p>
          <w:p w14:paraId="72CFF960" w14:textId="041AD6D2" w:rsidR="001B667D" w:rsidRPr="00BC6F97" w:rsidRDefault="001B667D" w:rsidP="00080B43">
            <w:pPr>
              <w:jc w:val="both"/>
            </w:pPr>
            <w:r w:rsidRPr="00BC6F97">
              <w:t>The minimum dwelling density required is 28dw/ha. The proposed dwelling density as part of this DA is 1.95dw/ha. This equates to a variation of 93.04% to the development standard.</w:t>
            </w:r>
          </w:p>
        </w:tc>
      </w:tr>
      <w:tr w:rsidR="001B667D" w:rsidRPr="003628E8" w14:paraId="3C23148E" w14:textId="77777777" w:rsidTr="00BC6F97">
        <w:tc>
          <w:tcPr>
            <w:tcW w:w="2830" w:type="dxa"/>
          </w:tcPr>
          <w:p w14:paraId="7B500EF5" w14:textId="77777777" w:rsidR="001B667D" w:rsidRPr="003628E8" w:rsidRDefault="001B667D" w:rsidP="00080B43">
            <w:pPr>
              <w:rPr>
                <w:b/>
                <w:bCs/>
              </w:rPr>
            </w:pPr>
            <w:r w:rsidRPr="003628E8">
              <w:rPr>
                <w:b/>
                <w:bCs/>
              </w:rPr>
              <w:t>Extent of Variation:</w:t>
            </w:r>
          </w:p>
        </w:tc>
        <w:tc>
          <w:tcPr>
            <w:tcW w:w="6186" w:type="dxa"/>
          </w:tcPr>
          <w:p w14:paraId="495AD17A" w14:textId="04C45701" w:rsidR="001B667D" w:rsidRPr="003628E8" w:rsidRDefault="001B667D" w:rsidP="00080B43">
            <w:pPr>
              <w:jc w:val="both"/>
            </w:pPr>
            <w:r>
              <w:t>26.05dw/ha / 93.04%</w:t>
            </w:r>
          </w:p>
        </w:tc>
      </w:tr>
      <w:tr w:rsidR="001B667D" w:rsidRPr="003628E8" w14:paraId="3EF61E00" w14:textId="77777777" w:rsidTr="00BC6F97">
        <w:tc>
          <w:tcPr>
            <w:tcW w:w="2830" w:type="dxa"/>
          </w:tcPr>
          <w:p w14:paraId="28D86042" w14:textId="77777777" w:rsidR="001B667D" w:rsidRPr="003628E8" w:rsidRDefault="001B667D" w:rsidP="00080B43">
            <w:pPr>
              <w:rPr>
                <w:b/>
                <w:bCs/>
              </w:rPr>
            </w:pPr>
            <w:r w:rsidRPr="003628E8">
              <w:rPr>
                <w:b/>
                <w:bCs/>
              </w:rPr>
              <w:t>Concurring Authority:</w:t>
            </w:r>
          </w:p>
        </w:tc>
        <w:tc>
          <w:tcPr>
            <w:tcW w:w="6186" w:type="dxa"/>
          </w:tcPr>
          <w:p w14:paraId="0FF18132" w14:textId="096FCC5A" w:rsidR="001B667D" w:rsidRPr="003628E8" w:rsidRDefault="002E5B40" w:rsidP="00080B43">
            <w:pPr>
              <w:jc w:val="both"/>
            </w:pPr>
            <w:r>
              <w:t xml:space="preserve">Liverpool LPP </w:t>
            </w:r>
            <w:r w:rsidR="001B667D" w:rsidRPr="003628E8">
              <w:t>under assumed concurrence</w:t>
            </w:r>
          </w:p>
        </w:tc>
      </w:tr>
      <w:tr w:rsidR="001B667D" w:rsidRPr="003628E8" w14:paraId="31B3DE60" w14:textId="77777777" w:rsidTr="00BC6F97">
        <w:tc>
          <w:tcPr>
            <w:tcW w:w="2830" w:type="dxa"/>
          </w:tcPr>
          <w:p w14:paraId="02E9C0BE" w14:textId="77777777" w:rsidR="001B667D" w:rsidRPr="003628E8" w:rsidRDefault="001B667D" w:rsidP="00080B43">
            <w:pPr>
              <w:rPr>
                <w:b/>
                <w:bCs/>
              </w:rPr>
            </w:pPr>
            <w:r w:rsidRPr="003628E8">
              <w:rPr>
                <w:b/>
                <w:bCs/>
              </w:rPr>
              <w:t>Date Determined:</w:t>
            </w:r>
          </w:p>
        </w:tc>
        <w:tc>
          <w:tcPr>
            <w:tcW w:w="6186" w:type="dxa"/>
          </w:tcPr>
          <w:p w14:paraId="5C93EB39" w14:textId="4D6309FC" w:rsidR="001B667D" w:rsidRPr="003628E8" w:rsidRDefault="001B667D" w:rsidP="00080B43">
            <w:pPr>
              <w:jc w:val="both"/>
            </w:pPr>
            <w:r>
              <w:t>26 June 2023</w:t>
            </w:r>
          </w:p>
        </w:tc>
      </w:tr>
    </w:tbl>
    <w:p w14:paraId="6EB5FEF3" w14:textId="77777777" w:rsidR="001B667D" w:rsidRPr="003628E8" w:rsidRDefault="001B667D" w:rsidP="00080B43">
      <w:pPr>
        <w:spacing w:after="0" w:line="240" w:lineRule="auto"/>
      </w:pPr>
    </w:p>
    <w:p w14:paraId="4B8B6265" w14:textId="6DA03F21" w:rsidR="00FC242F" w:rsidRDefault="00FC242F" w:rsidP="00080B43">
      <w:pPr>
        <w:spacing w:after="0" w:line="240" w:lineRule="auto"/>
      </w:pPr>
      <w:r>
        <w:br w:type="page"/>
      </w:r>
    </w:p>
    <w:p w14:paraId="22B49840" w14:textId="436136BD" w:rsidR="00C87D88" w:rsidRPr="003628E8" w:rsidRDefault="00C87D88" w:rsidP="00080B43">
      <w:pPr>
        <w:spacing w:after="0" w:line="240" w:lineRule="auto"/>
        <w:rPr>
          <w:b/>
          <w:bCs/>
        </w:rPr>
      </w:pPr>
      <w:r w:rsidRPr="003628E8">
        <w:rPr>
          <w:b/>
          <w:bCs/>
        </w:rPr>
        <w:lastRenderedPageBreak/>
        <w:t xml:space="preserve">ITEM </w:t>
      </w:r>
      <w:r>
        <w:rPr>
          <w:b/>
          <w:bCs/>
        </w:rPr>
        <w:t>2</w:t>
      </w:r>
      <w:r w:rsidRPr="003628E8">
        <w:rPr>
          <w:b/>
          <w:bCs/>
        </w:rPr>
        <w:t xml:space="preserve"> – DA-</w:t>
      </w:r>
      <w:r>
        <w:rPr>
          <w:b/>
          <w:bCs/>
        </w:rPr>
        <w:t>221</w:t>
      </w:r>
      <w:r w:rsidRPr="003628E8">
        <w:rPr>
          <w:b/>
          <w:bCs/>
        </w:rPr>
        <w:t xml:space="preserve">/2021 – </w:t>
      </w:r>
      <w:r>
        <w:rPr>
          <w:b/>
          <w:bCs/>
        </w:rPr>
        <w:t>11 Harvey Avenue and 11 Dredge Avenue, Moorebank</w:t>
      </w:r>
    </w:p>
    <w:p w14:paraId="37A2D3EB" w14:textId="271D1B7F" w:rsidR="00202596" w:rsidRDefault="00202596" w:rsidP="00080B43">
      <w:pPr>
        <w:spacing w:after="0" w:line="240" w:lineRule="auto"/>
      </w:pPr>
    </w:p>
    <w:tbl>
      <w:tblPr>
        <w:tblStyle w:val="TableGrid"/>
        <w:tblW w:w="0" w:type="auto"/>
        <w:tblLook w:val="04A0" w:firstRow="1" w:lastRow="0" w:firstColumn="1" w:lastColumn="0" w:noHBand="0" w:noVBand="1"/>
      </w:tblPr>
      <w:tblGrid>
        <w:gridCol w:w="2830"/>
        <w:gridCol w:w="6186"/>
      </w:tblGrid>
      <w:tr w:rsidR="00FC242F" w:rsidRPr="003628E8" w14:paraId="7EBB89CE" w14:textId="77777777" w:rsidTr="003A5ADC">
        <w:tc>
          <w:tcPr>
            <w:tcW w:w="2830" w:type="dxa"/>
          </w:tcPr>
          <w:p w14:paraId="4CE6953D" w14:textId="77777777" w:rsidR="00FC242F" w:rsidRPr="003628E8" w:rsidRDefault="00FC242F" w:rsidP="00080B43">
            <w:pPr>
              <w:rPr>
                <w:b/>
                <w:bCs/>
              </w:rPr>
            </w:pPr>
            <w:r w:rsidRPr="003628E8">
              <w:rPr>
                <w:b/>
                <w:bCs/>
              </w:rPr>
              <w:t>DA Number:</w:t>
            </w:r>
          </w:p>
        </w:tc>
        <w:tc>
          <w:tcPr>
            <w:tcW w:w="6186" w:type="dxa"/>
          </w:tcPr>
          <w:p w14:paraId="44F8254B" w14:textId="305599DD" w:rsidR="00FC242F" w:rsidRPr="003628E8" w:rsidRDefault="00FC242F" w:rsidP="00080B43">
            <w:pPr>
              <w:jc w:val="both"/>
              <w:rPr>
                <w:b/>
                <w:bCs/>
              </w:rPr>
            </w:pPr>
            <w:r w:rsidRPr="003628E8">
              <w:t>DA-</w:t>
            </w:r>
            <w:r>
              <w:t>221/2021</w:t>
            </w:r>
          </w:p>
        </w:tc>
      </w:tr>
      <w:tr w:rsidR="00FC242F" w:rsidRPr="003628E8" w14:paraId="2FABE5E9" w14:textId="77777777" w:rsidTr="003A5ADC">
        <w:tc>
          <w:tcPr>
            <w:tcW w:w="2830" w:type="dxa"/>
          </w:tcPr>
          <w:p w14:paraId="7BA2A2B0" w14:textId="77777777" w:rsidR="00FC242F" w:rsidRPr="003628E8" w:rsidRDefault="00FC242F" w:rsidP="00080B43">
            <w:pPr>
              <w:rPr>
                <w:b/>
                <w:bCs/>
              </w:rPr>
            </w:pPr>
            <w:r w:rsidRPr="003628E8">
              <w:rPr>
                <w:b/>
                <w:bCs/>
              </w:rPr>
              <w:t>Property Address:</w:t>
            </w:r>
          </w:p>
        </w:tc>
        <w:tc>
          <w:tcPr>
            <w:tcW w:w="6186" w:type="dxa"/>
          </w:tcPr>
          <w:p w14:paraId="741DE819" w14:textId="77777777" w:rsidR="00FC242F" w:rsidRDefault="00FC242F" w:rsidP="00080B43">
            <w:pPr>
              <w:jc w:val="both"/>
            </w:pPr>
            <w:r>
              <w:t>1 Harvey Avenue and 11 Dredge Avenue, Moorebank</w:t>
            </w:r>
          </w:p>
          <w:p w14:paraId="502828A3" w14:textId="0379D8C5" w:rsidR="00B32DB3" w:rsidRPr="003628E8" w:rsidRDefault="00B32DB3" w:rsidP="00080B43">
            <w:pPr>
              <w:jc w:val="both"/>
            </w:pPr>
            <w:r>
              <w:t>Cnr Lot 22 &amp; Lot 23 DP 235288</w:t>
            </w:r>
          </w:p>
        </w:tc>
      </w:tr>
      <w:tr w:rsidR="00FC242F" w:rsidRPr="003628E8" w14:paraId="3CC0C4DE" w14:textId="77777777" w:rsidTr="003A5ADC">
        <w:tc>
          <w:tcPr>
            <w:tcW w:w="2830" w:type="dxa"/>
          </w:tcPr>
          <w:p w14:paraId="709FD650" w14:textId="77777777" w:rsidR="00FC242F" w:rsidRPr="003628E8" w:rsidRDefault="00FC242F" w:rsidP="00080B43">
            <w:pPr>
              <w:rPr>
                <w:b/>
                <w:bCs/>
              </w:rPr>
            </w:pPr>
            <w:r w:rsidRPr="003628E8">
              <w:rPr>
                <w:b/>
                <w:bCs/>
              </w:rPr>
              <w:t>Development Category:</w:t>
            </w:r>
          </w:p>
        </w:tc>
        <w:tc>
          <w:tcPr>
            <w:tcW w:w="6186" w:type="dxa"/>
          </w:tcPr>
          <w:p w14:paraId="3EED9D85" w14:textId="77777777" w:rsidR="00FC242F" w:rsidRPr="003628E8" w:rsidRDefault="00FC242F" w:rsidP="00080B43">
            <w:pPr>
              <w:jc w:val="both"/>
            </w:pPr>
            <w:r w:rsidRPr="003628E8">
              <w:t>Residential</w:t>
            </w:r>
          </w:p>
        </w:tc>
      </w:tr>
      <w:tr w:rsidR="00FC242F" w:rsidRPr="003628E8" w14:paraId="25241A62" w14:textId="77777777" w:rsidTr="003A5ADC">
        <w:tc>
          <w:tcPr>
            <w:tcW w:w="2830" w:type="dxa"/>
          </w:tcPr>
          <w:p w14:paraId="4A4D526A" w14:textId="77777777" w:rsidR="00FC242F" w:rsidRPr="003628E8" w:rsidRDefault="00FC242F" w:rsidP="00080B43">
            <w:pPr>
              <w:rPr>
                <w:b/>
                <w:bCs/>
              </w:rPr>
            </w:pPr>
            <w:r w:rsidRPr="003628E8">
              <w:rPr>
                <w:b/>
                <w:bCs/>
              </w:rPr>
              <w:t>Description:</w:t>
            </w:r>
          </w:p>
        </w:tc>
        <w:tc>
          <w:tcPr>
            <w:tcW w:w="6186" w:type="dxa"/>
          </w:tcPr>
          <w:p w14:paraId="07DC2FD8" w14:textId="0B020861" w:rsidR="00FC242F" w:rsidRPr="003628E8" w:rsidRDefault="00FC242F" w:rsidP="00080B43">
            <w:pPr>
              <w:jc w:val="both"/>
            </w:pPr>
            <w:r>
              <w:t xml:space="preserve">Demolition of existing building structures, tree removal and construction of a five storey residential flat building, two levels of basement parking, and related landscaping and stormwater management. </w:t>
            </w:r>
          </w:p>
        </w:tc>
      </w:tr>
      <w:tr w:rsidR="00FC242F" w:rsidRPr="003628E8" w14:paraId="472CD7BD" w14:textId="77777777" w:rsidTr="003A5ADC">
        <w:tc>
          <w:tcPr>
            <w:tcW w:w="2830" w:type="dxa"/>
          </w:tcPr>
          <w:p w14:paraId="7514DBD1" w14:textId="77777777" w:rsidR="00FC242F" w:rsidRPr="003628E8" w:rsidRDefault="00FC242F" w:rsidP="00080B43">
            <w:pPr>
              <w:rPr>
                <w:b/>
                <w:bCs/>
              </w:rPr>
            </w:pPr>
            <w:r w:rsidRPr="003628E8">
              <w:rPr>
                <w:b/>
                <w:bCs/>
              </w:rPr>
              <w:t>Environmental Planning Instrument:</w:t>
            </w:r>
          </w:p>
        </w:tc>
        <w:tc>
          <w:tcPr>
            <w:tcW w:w="6186" w:type="dxa"/>
          </w:tcPr>
          <w:p w14:paraId="3C41E64C" w14:textId="77777777" w:rsidR="00FC242F" w:rsidRPr="003628E8" w:rsidRDefault="00FC242F" w:rsidP="00080B43">
            <w:pPr>
              <w:jc w:val="both"/>
            </w:pPr>
            <w:r w:rsidRPr="003628E8">
              <w:t>Liverpool LEP 2008</w:t>
            </w:r>
          </w:p>
        </w:tc>
      </w:tr>
      <w:tr w:rsidR="00FC242F" w:rsidRPr="003628E8" w14:paraId="69AB6E19" w14:textId="77777777" w:rsidTr="003A5ADC">
        <w:tc>
          <w:tcPr>
            <w:tcW w:w="2830" w:type="dxa"/>
          </w:tcPr>
          <w:p w14:paraId="1E5D373E" w14:textId="77777777" w:rsidR="00FC242F" w:rsidRPr="003628E8" w:rsidRDefault="00FC242F" w:rsidP="00080B43">
            <w:pPr>
              <w:rPr>
                <w:b/>
                <w:bCs/>
              </w:rPr>
            </w:pPr>
            <w:r w:rsidRPr="003628E8">
              <w:rPr>
                <w:b/>
                <w:bCs/>
              </w:rPr>
              <w:t>Zoning of Land:</w:t>
            </w:r>
          </w:p>
        </w:tc>
        <w:tc>
          <w:tcPr>
            <w:tcW w:w="6186" w:type="dxa"/>
          </w:tcPr>
          <w:p w14:paraId="791D073B" w14:textId="77777777" w:rsidR="00FC242F" w:rsidRPr="003628E8" w:rsidRDefault="00FC242F" w:rsidP="00080B43">
            <w:pPr>
              <w:jc w:val="both"/>
            </w:pPr>
            <w:r>
              <w:t>R1 – General Residential &amp; SP2 - Infrastructure</w:t>
            </w:r>
          </w:p>
        </w:tc>
      </w:tr>
      <w:tr w:rsidR="00FC242F" w:rsidRPr="003628E8" w14:paraId="348A6FF5" w14:textId="77777777" w:rsidTr="003A5ADC">
        <w:tc>
          <w:tcPr>
            <w:tcW w:w="2830" w:type="dxa"/>
          </w:tcPr>
          <w:p w14:paraId="70ABA519" w14:textId="77777777" w:rsidR="00FC242F" w:rsidRPr="003628E8" w:rsidRDefault="00FC242F" w:rsidP="00080B43">
            <w:pPr>
              <w:rPr>
                <w:b/>
                <w:bCs/>
              </w:rPr>
            </w:pPr>
            <w:r w:rsidRPr="003628E8">
              <w:rPr>
                <w:b/>
                <w:bCs/>
              </w:rPr>
              <w:t>Development Standard Varied:</w:t>
            </w:r>
          </w:p>
        </w:tc>
        <w:tc>
          <w:tcPr>
            <w:tcW w:w="6186" w:type="dxa"/>
          </w:tcPr>
          <w:p w14:paraId="03E99F21" w14:textId="219E2A03" w:rsidR="00FC242F" w:rsidRPr="003628E8" w:rsidRDefault="00FC242F" w:rsidP="00080B43">
            <w:pPr>
              <w:jc w:val="both"/>
            </w:pPr>
            <w:r>
              <w:t>Clause 4.3 Height of Buildings</w:t>
            </w:r>
          </w:p>
        </w:tc>
      </w:tr>
      <w:tr w:rsidR="00FC242F" w:rsidRPr="003628E8" w14:paraId="6A6D6E5E" w14:textId="77777777" w:rsidTr="003A5ADC">
        <w:tc>
          <w:tcPr>
            <w:tcW w:w="2830" w:type="dxa"/>
          </w:tcPr>
          <w:p w14:paraId="3DF5E1F8" w14:textId="77777777" w:rsidR="00FC242F" w:rsidRPr="00BC6F97" w:rsidRDefault="00FC242F" w:rsidP="00080B43">
            <w:pPr>
              <w:rPr>
                <w:b/>
                <w:bCs/>
              </w:rPr>
            </w:pPr>
            <w:r w:rsidRPr="00BC6F97">
              <w:rPr>
                <w:b/>
                <w:bCs/>
              </w:rPr>
              <w:t>Justification of Variation:</w:t>
            </w:r>
          </w:p>
        </w:tc>
        <w:tc>
          <w:tcPr>
            <w:tcW w:w="6186" w:type="dxa"/>
          </w:tcPr>
          <w:p w14:paraId="004DF5CB" w14:textId="293C9951" w:rsidR="00FC242F" w:rsidRDefault="00FC242F" w:rsidP="00080B43">
            <w:pPr>
              <w:jc w:val="both"/>
            </w:pPr>
            <w:r w:rsidRPr="00BC6F97">
              <w:t>The proposed variation to the</w:t>
            </w:r>
            <w:r>
              <w:t xml:space="preserve"> Height of Building</w:t>
            </w:r>
            <w:r w:rsidRPr="00BC6F97">
              <w:t xml:space="preserve"> </w:t>
            </w:r>
            <w:r w:rsidR="00707FE8">
              <w:t>was</w:t>
            </w:r>
            <w:r w:rsidRPr="00BC6F97">
              <w:t xml:space="preserve"> considered to be acceptable in this instance as strict compliance</w:t>
            </w:r>
            <w:r w:rsidR="00707FE8">
              <w:t xml:space="preserve"> was</w:t>
            </w:r>
            <w:r w:rsidRPr="00BC6F97">
              <w:t xml:space="preserve"> unreasonable or unnecessary in the circumstances. </w:t>
            </w:r>
          </w:p>
          <w:p w14:paraId="733CC13C" w14:textId="77777777" w:rsidR="00FC242F" w:rsidRDefault="00FC242F" w:rsidP="00080B43">
            <w:pPr>
              <w:jc w:val="both"/>
            </w:pPr>
          </w:p>
          <w:p w14:paraId="09CF0219" w14:textId="228BA31D" w:rsidR="00FC242F" w:rsidRDefault="00ED0691" w:rsidP="00080B43">
            <w:pPr>
              <w:jc w:val="both"/>
            </w:pPr>
            <w:r>
              <w:t>The proposed construction of a residential flat building</w:t>
            </w:r>
            <w:r w:rsidR="00FC242F">
              <w:t xml:space="preserve"> is suitable in terms of site context, amenity, character and overall built form</w:t>
            </w:r>
            <w:r w:rsidR="00832734">
              <w:t>,</w:t>
            </w:r>
            <w:r w:rsidR="00FC242F">
              <w:t xml:space="preserve"> with the height exceedance </w:t>
            </w:r>
            <w:r w:rsidR="00832734">
              <w:t>limited</w:t>
            </w:r>
            <w:r w:rsidR="00FC242F">
              <w:t xml:space="preserve"> to </w:t>
            </w:r>
            <w:r w:rsidR="00832734">
              <w:t xml:space="preserve">the </w:t>
            </w:r>
            <w:r w:rsidR="00FC242F">
              <w:t xml:space="preserve">lift overrun. The development allows for the provision of additional access to housing within Moorebank. </w:t>
            </w:r>
          </w:p>
          <w:p w14:paraId="6807303D" w14:textId="77777777" w:rsidR="00FC242F" w:rsidRDefault="00FC242F" w:rsidP="00080B43">
            <w:pPr>
              <w:jc w:val="both"/>
            </w:pPr>
          </w:p>
          <w:p w14:paraId="3E8F99C0" w14:textId="0CE21EB3" w:rsidR="00FC242F" w:rsidRPr="00BC6F97" w:rsidRDefault="00832734" w:rsidP="00080B43">
            <w:pPr>
              <w:jc w:val="both"/>
            </w:pPr>
            <w:r>
              <w:t>T</w:t>
            </w:r>
            <w:r w:rsidR="00FC242F" w:rsidRPr="00BC6F97">
              <w:t xml:space="preserve">he objectives of Clause </w:t>
            </w:r>
            <w:r w:rsidR="00FC242F">
              <w:t>4.3</w:t>
            </w:r>
            <w:r w:rsidR="00FC242F" w:rsidRPr="00BC6F97">
              <w:t xml:space="preserve"> as well as the R</w:t>
            </w:r>
            <w:r w:rsidR="00FC242F">
              <w:t>4</w:t>
            </w:r>
            <w:r w:rsidR="00FC242F" w:rsidRPr="00BC6F97">
              <w:t xml:space="preserve"> </w:t>
            </w:r>
            <w:r w:rsidR="00FC242F">
              <w:t>– High Density</w:t>
            </w:r>
            <w:r w:rsidR="00FC242F" w:rsidRPr="00BC6F97">
              <w:t xml:space="preserve"> Residential zone </w:t>
            </w:r>
            <w:r>
              <w:t>were</w:t>
            </w:r>
            <w:r w:rsidR="00FC242F" w:rsidRPr="00BC6F97">
              <w:t xml:space="preserve"> upheld as a result of the proposed development and the proposal </w:t>
            </w:r>
            <w:r>
              <w:t>wa</w:t>
            </w:r>
            <w:r w:rsidR="00FC242F" w:rsidRPr="00BC6F97">
              <w:t>s considered to be in the public interest.</w:t>
            </w:r>
          </w:p>
          <w:p w14:paraId="260A31E5" w14:textId="77777777" w:rsidR="00FC242F" w:rsidRPr="00BC6F97" w:rsidRDefault="00FC242F" w:rsidP="00080B43">
            <w:pPr>
              <w:jc w:val="both"/>
            </w:pPr>
          </w:p>
          <w:p w14:paraId="7028DB2E" w14:textId="6F56A825" w:rsidR="00FC242F" w:rsidRPr="00BC6F97" w:rsidRDefault="00FC242F" w:rsidP="00080B43">
            <w:pPr>
              <w:jc w:val="both"/>
            </w:pPr>
            <w:r w:rsidRPr="00BC6F97">
              <w:t xml:space="preserve">The </w:t>
            </w:r>
            <w:r>
              <w:t xml:space="preserve">maximum prescribed building height applied to the site is </w:t>
            </w:r>
            <w:r w:rsidR="00BE4BE5">
              <w:t>18</w:t>
            </w:r>
            <w:r>
              <w:t>m</w:t>
            </w:r>
            <w:r w:rsidRPr="00BC6F97">
              <w:t xml:space="preserve">. The proposed </w:t>
            </w:r>
            <w:r>
              <w:t xml:space="preserve">height of </w:t>
            </w:r>
            <w:r w:rsidR="00BE4BE5">
              <w:t>the</w:t>
            </w:r>
            <w:r>
              <w:t xml:space="preserve"> application is 20.6m</w:t>
            </w:r>
            <w:r w:rsidRPr="00BC6F97">
              <w:t xml:space="preserve">. This equates to a variation of </w:t>
            </w:r>
            <w:r>
              <w:t>14</w:t>
            </w:r>
            <w:r w:rsidR="00456A22">
              <w:t>.4</w:t>
            </w:r>
            <w:r w:rsidRPr="00BC6F97">
              <w:t>% to the development standard.</w:t>
            </w:r>
          </w:p>
        </w:tc>
      </w:tr>
      <w:tr w:rsidR="00FC242F" w:rsidRPr="003628E8" w14:paraId="68F48A0E" w14:textId="77777777" w:rsidTr="003A5ADC">
        <w:tc>
          <w:tcPr>
            <w:tcW w:w="2830" w:type="dxa"/>
          </w:tcPr>
          <w:p w14:paraId="032FF354" w14:textId="77777777" w:rsidR="00FC242F" w:rsidRPr="003628E8" w:rsidRDefault="00FC242F" w:rsidP="00080B43">
            <w:pPr>
              <w:rPr>
                <w:b/>
                <w:bCs/>
              </w:rPr>
            </w:pPr>
            <w:r w:rsidRPr="003628E8">
              <w:rPr>
                <w:b/>
                <w:bCs/>
              </w:rPr>
              <w:t>Extent of Variation:</w:t>
            </w:r>
          </w:p>
        </w:tc>
        <w:tc>
          <w:tcPr>
            <w:tcW w:w="6186" w:type="dxa"/>
          </w:tcPr>
          <w:p w14:paraId="6196958F" w14:textId="68BA90C8" w:rsidR="00FC242F" w:rsidRPr="003628E8" w:rsidRDefault="00FC242F" w:rsidP="00080B43">
            <w:pPr>
              <w:jc w:val="both"/>
            </w:pPr>
            <w:r>
              <w:t>2.6m / 14</w:t>
            </w:r>
            <w:r w:rsidR="00456A22">
              <w:t>.4</w:t>
            </w:r>
            <w:r>
              <w:t>%</w:t>
            </w:r>
          </w:p>
        </w:tc>
      </w:tr>
      <w:tr w:rsidR="00FC242F" w:rsidRPr="003628E8" w14:paraId="221B2E02" w14:textId="77777777" w:rsidTr="003A5ADC">
        <w:tc>
          <w:tcPr>
            <w:tcW w:w="2830" w:type="dxa"/>
          </w:tcPr>
          <w:p w14:paraId="08613CA4" w14:textId="77777777" w:rsidR="00FC242F" w:rsidRPr="003628E8" w:rsidRDefault="00FC242F" w:rsidP="00080B43">
            <w:pPr>
              <w:rPr>
                <w:b/>
                <w:bCs/>
              </w:rPr>
            </w:pPr>
            <w:r w:rsidRPr="003628E8">
              <w:rPr>
                <w:b/>
                <w:bCs/>
              </w:rPr>
              <w:t>Concurring Authority:</w:t>
            </w:r>
          </w:p>
        </w:tc>
        <w:tc>
          <w:tcPr>
            <w:tcW w:w="6186" w:type="dxa"/>
          </w:tcPr>
          <w:p w14:paraId="1560153B" w14:textId="39AF5B18" w:rsidR="00FC242F" w:rsidRPr="003628E8" w:rsidRDefault="00080B43" w:rsidP="00080B43">
            <w:pPr>
              <w:jc w:val="both"/>
            </w:pPr>
            <w:r>
              <w:t>Liverpool LPP</w:t>
            </w:r>
            <w:r w:rsidR="00FC242F" w:rsidRPr="003628E8">
              <w:t xml:space="preserve"> under assumed concurrence</w:t>
            </w:r>
          </w:p>
        </w:tc>
      </w:tr>
      <w:tr w:rsidR="00FC242F" w:rsidRPr="003628E8" w14:paraId="3466E4D4" w14:textId="77777777" w:rsidTr="003A5ADC">
        <w:tc>
          <w:tcPr>
            <w:tcW w:w="2830" w:type="dxa"/>
          </w:tcPr>
          <w:p w14:paraId="07C0D7B3" w14:textId="77777777" w:rsidR="00FC242F" w:rsidRPr="003628E8" w:rsidRDefault="00FC242F" w:rsidP="00080B43">
            <w:pPr>
              <w:rPr>
                <w:b/>
                <w:bCs/>
              </w:rPr>
            </w:pPr>
            <w:r w:rsidRPr="003628E8">
              <w:rPr>
                <w:b/>
                <w:bCs/>
              </w:rPr>
              <w:t>Date Determined:</w:t>
            </w:r>
          </w:p>
        </w:tc>
        <w:tc>
          <w:tcPr>
            <w:tcW w:w="6186" w:type="dxa"/>
          </w:tcPr>
          <w:p w14:paraId="0C1FA0C2" w14:textId="777A70A6" w:rsidR="00FC242F" w:rsidRPr="003628E8" w:rsidRDefault="00FC242F" w:rsidP="00080B43">
            <w:pPr>
              <w:jc w:val="both"/>
            </w:pPr>
            <w:r>
              <w:t>29 May 2023</w:t>
            </w:r>
          </w:p>
        </w:tc>
      </w:tr>
    </w:tbl>
    <w:p w14:paraId="26A6B785" w14:textId="77777777" w:rsidR="00FC242F" w:rsidRDefault="00FC242F" w:rsidP="00080B43">
      <w:pPr>
        <w:spacing w:after="0" w:line="240" w:lineRule="auto"/>
      </w:pPr>
    </w:p>
    <w:p w14:paraId="4EA3071F" w14:textId="77777777" w:rsidR="00BC6AAE" w:rsidRDefault="00BC6AAE" w:rsidP="00080B43">
      <w:pPr>
        <w:spacing w:after="0" w:line="240" w:lineRule="auto"/>
      </w:pPr>
    </w:p>
    <w:p w14:paraId="5E8AE0EF" w14:textId="77777777" w:rsidR="00BC6AAE" w:rsidRDefault="00BC6AAE" w:rsidP="00080B43">
      <w:pPr>
        <w:spacing w:after="0" w:line="240" w:lineRule="auto"/>
      </w:pPr>
    </w:p>
    <w:sectPr w:rsidR="00BC6A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E7EE7"/>
    <w:multiLevelType w:val="hybridMultilevel"/>
    <w:tmpl w:val="716EF2EC"/>
    <w:lvl w:ilvl="0" w:tplc="54FCD85C">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D641221"/>
    <w:multiLevelType w:val="hybridMultilevel"/>
    <w:tmpl w:val="4800AF0C"/>
    <w:lvl w:ilvl="0" w:tplc="54FCD85C">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75B45832"/>
    <w:multiLevelType w:val="hybridMultilevel"/>
    <w:tmpl w:val="5DCE3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809347D"/>
    <w:multiLevelType w:val="hybridMultilevel"/>
    <w:tmpl w:val="DE88B686"/>
    <w:lvl w:ilvl="0" w:tplc="54FCD85C">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79573F87"/>
    <w:multiLevelType w:val="hybridMultilevel"/>
    <w:tmpl w:val="D7A6BB04"/>
    <w:lvl w:ilvl="0" w:tplc="54FCD85C">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0581193">
    <w:abstractNumId w:val="2"/>
  </w:num>
  <w:num w:numId="2" w16cid:durableId="832069208">
    <w:abstractNumId w:val="4"/>
  </w:num>
  <w:num w:numId="3" w16cid:durableId="1872184635">
    <w:abstractNumId w:val="0"/>
  </w:num>
  <w:num w:numId="4" w16cid:durableId="1345938799">
    <w:abstractNumId w:val="1"/>
  </w:num>
  <w:num w:numId="5" w16cid:durableId="685792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7D"/>
    <w:rsid w:val="00080B43"/>
    <w:rsid w:val="001B667D"/>
    <w:rsid w:val="00202596"/>
    <w:rsid w:val="002E5B40"/>
    <w:rsid w:val="00456A22"/>
    <w:rsid w:val="00707FE8"/>
    <w:rsid w:val="00793E69"/>
    <w:rsid w:val="007E34DD"/>
    <w:rsid w:val="00832734"/>
    <w:rsid w:val="00B32DB3"/>
    <w:rsid w:val="00BC6AAE"/>
    <w:rsid w:val="00BC6F97"/>
    <w:rsid w:val="00BE4BE5"/>
    <w:rsid w:val="00C76FB8"/>
    <w:rsid w:val="00C87D88"/>
    <w:rsid w:val="00CD0AE2"/>
    <w:rsid w:val="00ED0691"/>
    <w:rsid w:val="00FC2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6773"/>
  <w15:chartTrackingRefBased/>
  <w15:docId w15:val="{5EB4F10F-EDA3-4416-983D-4E10CE51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6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6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A4944-9B29-46D6-A54E-18CBB7F88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568</Words>
  <Characters>3247</Characters>
  <Application>Microsoft Office Word</Application>
  <DocSecurity>0</DocSecurity>
  <Lines>115</Lines>
  <Paragraphs>64</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Micallef</dc:creator>
  <cp:keywords/>
  <dc:description/>
  <cp:lastModifiedBy>Sharon Zunic</cp:lastModifiedBy>
  <cp:revision>18</cp:revision>
  <cp:lastPrinted>2023-07-04T01:53:00Z</cp:lastPrinted>
  <dcterms:created xsi:type="dcterms:W3CDTF">2023-07-03T22:05:00Z</dcterms:created>
  <dcterms:modified xsi:type="dcterms:W3CDTF">2023-07-05T05:05:00Z</dcterms:modified>
</cp:coreProperties>
</file>