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2EFA" w14:textId="7E449B17" w:rsidR="00FF5661" w:rsidRPr="003A224D" w:rsidRDefault="00FF5661" w:rsidP="00FF5661">
      <w:pPr>
        <w:spacing w:after="0" w:line="240" w:lineRule="auto"/>
        <w:rPr>
          <w:b/>
          <w:bCs/>
        </w:rPr>
      </w:pPr>
      <w:r w:rsidRPr="003A224D">
        <w:rPr>
          <w:b/>
          <w:bCs/>
        </w:rPr>
        <w:t xml:space="preserve">ITEM </w:t>
      </w:r>
      <w:r w:rsidR="00544BDA">
        <w:rPr>
          <w:b/>
          <w:bCs/>
        </w:rPr>
        <w:t>1</w:t>
      </w:r>
      <w:r w:rsidRPr="003A224D">
        <w:rPr>
          <w:b/>
          <w:bCs/>
        </w:rPr>
        <w:t xml:space="preserve"> –</w:t>
      </w:r>
      <w:r w:rsidR="008255E8">
        <w:rPr>
          <w:b/>
          <w:bCs/>
        </w:rPr>
        <w:t xml:space="preserve"> </w:t>
      </w:r>
      <w:r w:rsidRPr="003A224D">
        <w:rPr>
          <w:b/>
          <w:bCs/>
        </w:rPr>
        <w:t>DA-</w:t>
      </w:r>
      <w:r>
        <w:rPr>
          <w:b/>
          <w:bCs/>
        </w:rPr>
        <w:t>308/2022</w:t>
      </w:r>
      <w:r w:rsidRPr="003A224D">
        <w:rPr>
          <w:b/>
          <w:bCs/>
        </w:rPr>
        <w:t xml:space="preserve"> – </w:t>
      </w:r>
      <w:r>
        <w:rPr>
          <w:b/>
          <w:bCs/>
        </w:rPr>
        <w:t xml:space="preserve">107 </w:t>
      </w:r>
      <w:proofErr w:type="spellStart"/>
      <w:r>
        <w:rPr>
          <w:b/>
          <w:bCs/>
        </w:rPr>
        <w:t>Leacocks</w:t>
      </w:r>
      <w:proofErr w:type="spellEnd"/>
      <w:r>
        <w:rPr>
          <w:b/>
          <w:bCs/>
        </w:rPr>
        <w:t xml:space="preserve"> Lane, Casula (Lot 211, DP 803415)</w:t>
      </w:r>
    </w:p>
    <w:p w14:paraId="5BEBF0B4" w14:textId="77777777" w:rsidR="00FF5661" w:rsidRPr="003A224D" w:rsidRDefault="00FF5661" w:rsidP="00FF5661">
      <w:pPr>
        <w:spacing w:after="0" w:line="240" w:lineRule="auto"/>
        <w:rPr>
          <w:b/>
          <w:bCs/>
        </w:rPr>
      </w:pPr>
    </w:p>
    <w:tbl>
      <w:tblPr>
        <w:tblStyle w:val="TableGrid"/>
        <w:tblW w:w="0" w:type="auto"/>
        <w:tblLook w:val="04A0" w:firstRow="1" w:lastRow="0" w:firstColumn="1" w:lastColumn="0" w:noHBand="0" w:noVBand="1"/>
      </w:tblPr>
      <w:tblGrid>
        <w:gridCol w:w="3539"/>
        <w:gridCol w:w="5477"/>
      </w:tblGrid>
      <w:tr w:rsidR="00FF5661" w:rsidRPr="003A224D" w14:paraId="29F0997E" w14:textId="77777777" w:rsidTr="00977BE5">
        <w:tc>
          <w:tcPr>
            <w:tcW w:w="3539" w:type="dxa"/>
          </w:tcPr>
          <w:p w14:paraId="057E18F6" w14:textId="77777777" w:rsidR="00FF5661" w:rsidRPr="003A224D" w:rsidRDefault="00FF5661" w:rsidP="00977BE5">
            <w:pPr>
              <w:rPr>
                <w:b/>
                <w:bCs/>
              </w:rPr>
            </w:pPr>
            <w:r w:rsidRPr="003A224D">
              <w:rPr>
                <w:b/>
                <w:bCs/>
              </w:rPr>
              <w:t>DA Number:</w:t>
            </w:r>
          </w:p>
        </w:tc>
        <w:tc>
          <w:tcPr>
            <w:tcW w:w="5477" w:type="dxa"/>
          </w:tcPr>
          <w:p w14:paraId="51905A9A" w14:textId="77777777" w:rsidR="00FF5661" w:rsidRPr="003A224D" w:rsidRDefault="00FF5661" w:rsidP="00977BE5">
            <w:pPr>
              <w:jc w:val="both"/>
              <w:rPr>
                <w:b/>
                <w:bCs/>
              </w:rPr>
            </w:pPr>
            <w:r w:rsidRPr="003A224D">
              <w:t>DA-</w:t>
            </w:r>
            <w:r>
              <w:t>308/2022</w:t>
            </w:r>
          </w:p>
        </w:tc>
      </w:tr>
      <w:tr w:rsidR="00FF5661" w:rsidRPr="003A224D" w14:paraId="36E9F5CD" w14:textId="77777777" w:rsidTr="00977BE5">
        <w:tc>
          <w:tcPr>
            <w:tcW w:w="3539" w:type="dxa"/>
          </w:tcPr>
          <w:p w14:paraId="0E3D3E8F" w14:textId="77777777" w:rsidR="00FF5661" w:rsidRPr="003A224D" w:rsidRDefault="00FF5661" w:rsidP="00977BE5">
            <w:pPr>
              <w:rPr>
                <w:b/>
                <w:bCs/>
              </w:rPr>
            </w:pPr>
            <w:r w:rsidRPr="003A224D">
              <w:rPr>
                <w:b/>
                <w:bCs/>
              </w:rPr>
              <w:t>Property Address:</w:t>
            </w:r>
          </w:p>
        </w:tc>
        <w:tc>
          <w:tcPr>
            <w:tcW w:w="5477" w:type="dxa"/>
          </w:tcPr>
          <w:p w14:paraId="5E95A7DF" w14:textId="77777777" w:rsidR="00FF5661" w:rsidRDefault="00FF5661" w:rsidP="00977BE5">
            <w:pPr>
              <w:jc w:val="both"/>
            </w:pPr>
            <w:r>
              <w:t xml:space="preserve">107 </w:t>
            </w:r>
            <w:proofErr w:type="spellStart"/>
            <w:r>
              <w:t>Leacocks</w:t>
            </w:r>
            <w:proofErr w:type="spellEnd"/>
            <w:r>
              <w:t xml:space="preserve"> Lane, Casula </w:t>
            </w:r>
          </w:p>
          <w:p w14:paraId="2E56117F" w14:textId="77777777" w:rsidR="00FF5661" w:rsidRPr="003A224D" w:rsidRDefault="00FF5661" w:rsidP="00977BE5">
            <w:pPr>
              <w:jc w:val="both"/>
            </w:pPr>
            <w:r>
              <w:t>Lot 2011, DP 803415</w:t>
            </w:r>
          </w:p>
        </w:tc>
      </w:tr>
      <w:tr w:rsidR="00FF5661" w:rsidRPr="005D3459" w14:paraId="0057925C" w14:textId="77777777" w:rsidTr="00977BE5">
        <w:tc>
          <w:tcPr>
            <w:tcW w:w="3539" w:type="dxa"/>
          </w:tcPr>
          <w:p w14:paraId="488789F2" w14:textId="77777777" w:rsidR="00FF5661" w:rsidRPr="003A224D" w:rsidRDefault="00FF5661" w:rsidP="00977BE5">
            <w:pPr>
              <w:rPr>
                <w:b/>
                <w:bCs/>
              </w:rPr>
            </w:pPr>
            <w:r w:rsidRPr="003A224D">
              <w:rPr>
                <w:b/>
                <w:bCs/>
              </w:rPr>
              <w:t>Development Category:</w:t>
            </w:r>
          </w:p>
        </w:tc>
        <w:tc>
          <w:tcPr>
            <w:tcW w:w="5477" w:type="dxa"/>
          </w:tcPr>
          <w:p w14:paraId="12C3E5E7" w14:textId="77777777" w:rsidR="00FF5661" w:rsidRPr="003A224D" w:rsidRDefault="00FF5661" w:rsidP="00977BE5">
            <w:pPr>
              <w:jc w:val="both"/>
            </w:pPr>
            <w:r w:rsidRPr="003A224D">
              <w:t>Residential</w:t>
            </w:r>
          </w:p>
        </w:tc>
      </w:tr>
      <w:tr w:rsidR="00FF5661" w:rsidRPr="005D3459" w14:paraId="297F7926" w14:textId="77777777" w:rsidTr="005221AA">
        <w:trPr>
          <w:trHeight w:val="423"/>
        </w:trPr>
        <w:tc>
          <w:tcPr>
            <w:tcW w:w="3539" w:type="dxa"/>
          </w:tcPr>
          <w:p w14:paraId="3A9672D1" w14:textId="77777777" w:rsidR="00FF5661" w:rsidRPr="00EC389F" w:rsidRDefault="00FF5661" w:rsidP="00977BE5">
            <w:pPr>
              <w:rPr>
                <w:b/>
                <w:bCs/>
              </w:rPr>
            </w:pPr>
            <w:r w:rsidRPr="00EC389F">
              <w:rPr>
                <w:b/>
                <w:bCs/>
              </w:rPr>
              <w:t>Description:</w:t>
            </w:r>
          </w:p>
        </w:tc>
        <w:tc>
          <w:tcPr>
            <w:tcW w:w="5477" w:type="dxa"/>
          </w:tcPr>
          <w:p w14:paraId="38BF99E3" w14:textId="77777777" w:rsidR="00FF5661" w:rsidRPr="00AB580D" w:rsidRDefault="00FF5661" w:rsidP="00977BE5">
            <w:pPr>
              <w:autoSpaceDE w:val="0"/>
              <w:autoSpaceDN w:val="0"/>
              <w:adjustRightInd w:val="0"/>
              <w:rPr>
                <w:color w:val="000000"/>
                <w:sz w:val="24"/>
                <w:szCs w:val="24"/>
              </w:rPr>
            </w:pPr>
            <w:r w:rsidRPr="00742232">
              <w:rPr>
                <w:rFonts w:eastAsia="Batang"/>
                <w:lang w:val="en-US"/>
              </w:rPr>
              <w:t>Demolition of existing structures</w:t>
            </w:r>
            <w:r>
              <w:rPr>
                <w:rFonts w:eastAsia="Batang"/>
                <w:lang w:val="en-US"/>
              </w:rPr>
              <w:t>, two lot Torrens title subdivision</w:t>
            </w:r>
            <w:r w:rsidRPr="00742232">
              <w:rPr>
                <w:rFonts w:eastAsia="Batang"/>
                <w:lang w:val="en-US"/>
              </w:rPr>
              <w:t xml:space="preserve"> and construction of two x two </w:t>
            </w:r>
            <w:proofErr w:type="spellStart"/>
            <w:r w:rsidRPr="00742232">
              <w:rPr>
                <w:rFonts w:eastAsia="Batang"/>
                <w:lang w:val="en-US"/>
              </w:rPr>
              <w:t>storey</w:t>
            </w:r>
            <w:proofErr w:type="spellEnd"/>
            <w:r w:rsidRPr="00742232">
              <w:rPr>
                <w:rFonts w:eastAsia="Batang"/>
                <w:lang w:val="en-US"/>
              </w:rPr>
              <w:t xml:space="preserve"> detached dwellings </w:t>
            </w:r>
            <w:r>
              <w:rPr>
                <w:rFonts w:eastAsia="Batang"/>
                <w:lang w:val="en-US"/>
              </w:rPr>
              <w:t>on each lot.</w:t>
            </w:r>
          </w:p>
        </w:tc>
      </w:tr>
      <w:tr w:rsidR="00FF5661" w:rsidRPr="005D3459" w14:paraId="6A49DBF0" w14:textId="77777777" w:rsidTr="00977BE5">
        <w:tc>
          <w:tcPr>
            <w:tcW w:w="3539" w:type="dxa"/>
          </w:tcPr>
          <w:p w14:paraId="1A577EEC" w14:textId="77777777" w:rsidR="00FF5661" w:rsidRPr="002F6639" w:rsidRDefault="00FF5661" w:rsidP="00977BE5">
            <w:pPr>
              <w:rPr>
                <w:b/>
                <w:bCs/>
              </w:rPr>
            </w:pPr>
            <w:r w:rsidRPr="002F6639">
              <w:rPr>
                <w:b/>
                <w:bCs/>
              </w:rPr>
              <w:t>Environmental Planning Instrument:</w:t>
            </w:r>
          </w:p>
        </w:tc>
        <w:tc>
          <w:tcPr>
            <w:tcW w:w="5477" w:type="dxa"/>
          </w:tcPr>
          <w:p w14:paraId="29ACEE97" w14:textId="77777777" w:rsidR="00FF5661" w:rsidRPr="002F6639" w:rsidRDefault="00FF5661" w:rsidP="00977BE5">
            <w:pPr>
              <w:jc w:val="both"/>
            </w:pPr>
            <w:r w:rsidRPr="002F6639">
              <w:t>Liverpool LEP 2008</w:t>
            </w:r>
          </w:p>
        </w:tc>
      </w:tr>
      <w:tr w:rsidR="00FF5661" w:rsidRPr="005D3459" w14:paraId="56CD36E9" w14:textId="77777777" w:rsidTr="00977BE5">
        <w:tc>
          <w:tcPr>
            <w:tcW w:w="3539" w:type="dxa"/>
          </w:tcPr>
          <w:p w14:paraId="2E877229" w14:textId="77777777" w:rsidR="00FF5661" w:rsidRPr="0091190B" w:rsidRDefault="00FF5661" w:rsidP="00977BE5">
            <w:pPr>
              <w:rPr>
                <w:b/>
                <w:bCs/>
              </w:rPr>
            </w:pPr>
            <w:r w:rsidRPr="0091190B">
              <w:rPr>
                <w:b/>
                <w:bCs/>
              </w:rPr>
              <w:t>Zoning of Land:</w:t>
            </w:r>
          </w:p>
        </w:tc>
        <w:tc>
          <w:tcPr>
            <w:tcW w:w="5477" w:type="dxa"/>
          </w:tcPr>
          <w:p w14:paraId="1D335EEC" w14:textId="77777777" w:rsidR="00FF5661" w:rsidRPr="0091190B" w:rsidRDefault="00FF5661" w:rsidP="00977BE5">
            <w:pPr>
              <w:jc w:val="both"/>
            </w:pPr>
            <w:r w:rsidRPr="0091190B">
              <w:t>R</w:t>
            </w:r>
            <w:r>
              <w:t>2</w:t>
            </w:r>
            <w:r w:rsidRPr="0091190B">
              <w:t xml:space="preserve"> – </w:t>
            </w:r>
            <w:r>
              <w:t xml:space="preserve">Low </w:t>
            </w:r>
            <w:proofErr w:type="gramStart"/>
            <w:r>
              <w:t xml:space="preserve">Density </w:t>
            </w:r>
            <w:r w:rsidRPr="0091190B">
              <w:t xml:space="preserve"> Residential</w:t>
            </w:r>
            <w:proofErr w:type="gramEnd"/>
          </w:p>
        </w:tc>
      </w:tr>
      <w:tr w:rsidR="00FF5661" w:rsidRPr="005D3459" w14:paraId="57A23ED8" w14:textId="77777777" w:rsidTr="00977BE5">
        <w:tc>
          <w:tcPr>
            <w:tcW w:w="3539" w:type="dxa"/>
          </w:tcPr>
          <w:p w14:paraId="19C064CF" w14:textId="77777777" w:rsidR="00FF5661" w:rsidRPr="00EC4BD2" w:rsidRDefault="00FF5661" w:rsidP="00977BE5">
            <w:pPr>
              <w:rPr>
                <w:b/>
                <w:bCs/>
              </w:rPr>
            </w:pPr>
            <w:r w:rsidRPr="00EC4BD2">
              <w:rPr>
                <w:b/>
                <w:bCs/>
              </w:rPr>
              <w:t>Development Standard Varied:</w:t>
            </w:r>
          </w:p>
        </w:tc>
        <w:tc>
          <w:tcPr>
            <w:tcW w:w="5477" w:type="dxa"/>
          </w:tcPr>
          <w:p w14:paraId="04E81CB7" w14:textId="77777777" w:rsidR="00FF5661" w:rsidRPr="00EC4BD2" w:rsidRDefault="00FF5661" w:rsidP="00977BE5">
            <w:pPr>
              <w:jc w:val="both"/>
            </w:pPr>
            <w:r w:rsidRPr="00EC4BD2">
              <w:t>Clause 4.</w:t>
            </w:r>
            <w:r>
              <w:t>1</w:t>
            </w:r>
            <w:r w:rsidRPr="00EC4BD2">
              <w:t xml:space="preserve"> – </w:t>
            </w:r>
            <w:r>
              <w:t>Minimum Subdivision Lot</w:t>
            </w:r>
          </w:p>
        </w:tc>
      </w:tr>
      <w:tr w:rsidR="00FF5661" w:rsidRPr="005D3459" w14:paraId="0779CDF7" w14:textId="77777777" w:rsidTr="00977BE5">
        <w:tc>
          <w:tcPr>
            <w:tcW w:w="3539" w:type="dxa"/>
          </w:tcPr>
          <w:p w14:paraId="0651BE50" w14:textId="77777777" w:rsidR="00FF5661" w:rsidRPr="008614F2" w:rsidRDefault="00FF5661" w:rsidP="00977BE5">
            <w:pPr>
              <w:rPr>
                <w:b/>
                <w:bCs/>
              </w:rPr>
            </w:pPr>
            <w:r w:rsidRPr="008614F2">
              <w:rPr>
                <w:b/>
                <w:bCs/>
              </w:rPr>
              <w:t>Justification of Variation:</w:t>
            </w:r>
          </w:p>
        </w:tc>
        <w:tc>
          <w:tcPr>
            <w:tcW w:w="5477" w:type="dxa"/>
          </w:tcPr>
          <w:p w14:paraId="08FEAE60" w14:textId="6028C619" w:rsidR="00FF5661" w:rsidRPr="006E260D" w:rsidRDefault="00F5252A" w:rsidP="00977BE5">
            <w:pPr>
              <w:autoSpaceDE w:val="0"/>
              <w:autoSpaceDN w:val="0"/>
              <w:adjustRightInd w:val="0"/>
              <w:rPr>
                <w:iCs/>
                <w:color w:val="000000"/>
              </w:rPr>
            </w:pPr>
            <w:r w:rsidRPr="006E260D">
              <w:t xml:space="preserve">The proposed variation to the </w:t>
            </w:r>
            <w:r w:rsidR="008A49BA" w:rsidRPr="006E260D">
              <w:t>minimum subdivision lot size</w:t>
            </w:r>
            <w:r w:rsidRPr="006E260D">
              <w:t xml:space="preserve"> development standard </w:t>
            </w:r>
            <w:proofErr w:type="gramStart"/>
            <w:r w:rsidRPr="006E260D">
              <w:t>is considered to be</w:t>
            </w:r>
            <w:proofErr w:type="gramEnd"/>
            <w:r w:rsidRPr="006E260D">
              <w:t xml:space="preserve"> acceptable in this instance</w:t>
            </w:r>
            <w:r w:rsidR="002E6D2D" w:rsidRPr="006E260D">
              <w:t xml:space="preserve">. </w:t>
            </w:r>
            <w:r w:rsidR="00FF5661" w:rsidRPr="006E260D">
              <w:rPr>
                <w:iCs/>
                <w:color w:val="000000"/>
              </w:rPr>
              <w:t>The proposal achieved full compliance with all other standards and controls coupled with a relatively minor departure from the minimum lot size is considered to demonstrate that compliance with the standard is unreasonable in this case as the development can be sited with full adherence to local provisions.</w:t>
            </w:r>
          </w:p>
          <w:p w14:paraId="2D744BE7" w14:textId="77777777" w:rsidR="00FF5661" w:rsidRPr="006E260D" w:rsidRDefault="00FF5661" w:rsidP="00977BE5">
            <w:pPr>
              <w:autoSpaceDE w:val="0"/>
              <w:autoSpaceDN w:val="0"/>
              <w:adjustRightInd w:val="0"/>
              <w:jc w:val="both"/>
              <w:rPr>
                <w:iCs/>
                <w:color w:val="000000"/>
              </w:rPr>
            </w:pPr>
          </w:p>
          <w:p w14:paraId="6190AB24" w14:textId="77777777" w:rsidR="00FF5661" w:rsidRPr="006E260D" w:rsidRDefault="00FF5661" w:rsidP="00977BE5">
            <w:pPr>
              <w:autoSpaceDE w:val="0"/>
              <w:autoSpaceDN w:val="0"/>
              <w:adjustRightInd w:val="0"/>
              <w:jc w:val="both"/>
              <w:rPr>
                <w:iCs/>
                <w:color w:val="000000"/>
              </w:rPr>
            </w:pPr>
            <w:r w:rsidRPr="006E260D">
              <w:rPr>
                <w:iCs/>
                <w:color w:val="000000"/>
              </w:rPr>
              <w:t xml:space="preserve">The proposed subdivision is considered a regular and orderly pattern and a consistent form of development for the site when considering the existing Torrens title subdivisions within the locality, as occurring at 121a and 121b </w:t>
            </w:r>
            <w:proofErr w:type="spellStart"/>
            <w:r w:rsidRPr="006E260D">
              <w:rPr>
                <w:iCs/>
                <w:color w:val="000000"/>
              </w:rPr>
              <w:t>Leacocks</w:t>
            </w:r>
            <w:proofErr w:type="spellEnd"/>
            <w:r w:rsidRPr="006E260D">
              <w:rPr>
                <w:iCs/>
                <w:color w:val="000000"/>
              </w:rPr>
              <w:t xml:space="preserve"> Lane, Casula, directly south-west of the subject site. As such, the proposed subdivision is an orderly development of the site.</w:t>
            </w:r>
          </w:p>
          <w:p w14:paraId="06027633" w14:textId="3105A7FB" w:rsidR="00FF5661" w:rsidRDefault="00FF5661" w:rsidP="00977BE5">
            <w:pPr>
              <w:autoSpaceDE w:val="0"/>
              <w:autoSpaceDN w:val="0"/>
              <w:adjustRightInd w:val="0"/>
              <w:jc w:val="both"/>
              <w:rPr>
                <w:iCs/>
                <w:color w:val="000000"/>
              </w:rPr>
            </w:pPr>
          </w:p>
          <w:p w14:paraId="3B4CB9ED" w14:textId="764B7165" w:rsidR="005221AA" w:rsidRPr="008614F2" w:rsidRDefault="005221AA" w:rsidP="005221AA">
            <w:pPr>
              <w:jc w:val="both"/>
            </w:pPr>
            <w:r w:rsidRPr="008614F2">
              <w:t xml:space="preserve">The objectives of Clause </w:t>
            </w:r>
            <w:r>
              <w:t xml:space="preserve">4.1 </w:t>
            </w:r>
            <w:r w:rsidRPr="008614F2">
              <w:t xml:space="preserve">as well as the </w:t>
            </w:r>
            <w:r>
              <w:t>R2 Low Density</w:t>
            </w:r>
            <w:r w:rsidRPr="008614F2">
              <w:t xml:space="preserve"> Residential zone would be upheld as a result of the proposed development.</w:t>
            </w:r>
          </w:p>
          <w:p w14:paraId="410A1822" w14:textId="77777777" w:rsidR="005221AA" w:rsidRPr="006E260D" w:rsidRDefault="005221AA" w:rsidP="00977BE5">
            <w:pPr>
              <w:autoSpaceDE w:val="0"/>
              <w:autoSpaceDN w:val="0"/>
              <w:adjustRightInd w:val="0"/>
              <w:jc w:val="both"/>
              <w:rPr>
                <w:iCs/>
                <w:color w:val="000000"/>
              </w:rPr>
            </w:pPr>
          </w:p>
          <w:p w14:paraId="277D2825" w14:textId="31040A03" w:rsidR="00FF5661" w:rsidRPr="006E260D" w:rsidRDefault="00FF5661" w:rsidP="00977BE5">
            <w:pPr>
              <w:autoSpaceDE w:val="0"/>
              <w:autoSpaceDN w:val="0"/>
              <w:adjustRightInd w:val="0"/>
              <w:jc w:val="both"/>
              <w:rPr>
                <w:iCs/>
                <w:color w:val="000000"/>
              </w:rPr>
            </w:pPr>
            <w:r w:rsidRPr="006E260D">
              <w:t xml:space="preserve">The </w:t>
            </w:r>
            <w:r w:rsidR="002E6D2D" w:rsidRPr="006E260D">
              <w:t xml:space="preserve">minimum </w:t>
            </w:r>
            <w:r w:rsidR="00BD1879" w:rsidRPr="006E260D">
              <w:t>subdivision lot size is 300m</w:t>
            </w:r>
            <w:r w:rsidR="00BD1879" w:rsidRPr="006E260D">
              <w:rPr>
                <w:iCs/>
                <w:color w:val="000000"/>
                <w:vertAlign w:val="superscript"/>
              </w:rPr>
              <w:t>2</w:t>
            </w:r>
            <w:r w:rsidRPr="006E260D">
              <w:t xml:space="preserve">. The </w:t>
            </w:r>
            <w:r w:rsidR="00BD1879" w:rsidRPr="006E260D">
              <w:t xml:space="preserve">lot </w:t>
            </w:r>
            <w:r w:rsidR="00DC5659" w:rsidRPr="006E260D">
              <w:t>size for Proposed Lot 1 is maintained to 2</w:t>
            </w:r>
            <w:r w:rsidR="00D137F3">
              <w:t>9</w:t>
            </w:r>
            <w:r w:rsidR="00DC5659" w:rsidRPr="006E260D">
              <w:t>9.9m</w:t>
            </w:r>
            <w:r w:rsidR="00DC5659" w:rsidRPr="006E260D">
              <w:rPr>
                <w:iCs/>
                <w:color w:val="000000"/>
                <w:vertAlign w:val="superscript"/>
              </w:rPr>
              <w:t>2</w:t>
            </w:r>
            <w:r w:rsidRPr="006E260D">
              <w:t xml:space="preserve">. This equates to a variation of </w:t>
            </w:r>
            <w:r w:rsidR="00C958A1" w:rsidRPr="006E260D">
              <w:t>0.0</w:t>
            </w:r>
            <w:r w:rsidR="006E260D" w:rsidRPr="006E260D">
              <w:t>33</w:t>
            </w:r>
            <w:r w:rsidRPr="006E260D">
              <w:t>% to the development standard.</w:t>
            </w:r>
          </w:p>
        </w:tc>
      </w:tr>
      <w:tr w:rsidR="00FF5661" w:rsidRPr="005D3459" w14:paraId="4CAC2940" w14:textId="77777777" w:rsidTr="00977BE5">
        <w:tc>
          <w:tcPr>
            <w:tcW w:w="3539" w:type="dxa"/>
          </w:tcPr>
          <w:p w14:paraId="66DF2AE2" w14:textId="77777777" w:rsidR="00FF5661" w:rsidRPr="00B94830" w:rsidRDefault="00FF5661" w:rsidP="00977BE5">
            <w:pPr>
              <w:rPr>
                <w:b/>
                <w:bCs/>
              </w:rPr>
            </w:pPr>
            <w:r w:rsidRPr="00B94830">
              <w:rPr>
                <w:b/>
                <w:bCs/>
              </w:rPr>
              <w:t>Extent of Variation:</w:t>
            </w:r>
          </w:p>
        </w:tc>
        <w:tc>
          <w:tcPr>
            <w:tcW w:w="5477" w:type="dxa"/>
          </w:tcPr>
          <w:p w14:paraId="1A7D1C1C" w14:textId="3FEEABDF" w:rsidR="00FF5661" w:rsidRPr="006E260D" w:rsidRDefault="00C958A1" w:rsidP="00977BE5">
            <w:pPr>
              <w:jc w:val="both"/>
            </w:pPr>
            <w:r w:rsidRPr="006E260D">
              <w:t xml:space="preserve">Lot 1 - </w:t>
            </w:r>
            <w:r w:rsidR="00FF5661" w:rsidRPr="006E260D">
              <w:t>0.1m</w:t>
            </w:r>
            <w:r w:rsidR="00FF5661" w:rsidRPr="006E260D">
              <w:rPr>
                <w:iCs/>
                <w:color w:val="000000"/>
                <w:vertAlign w:val="superscript"/>
              </w:rPr>
              <w:t xml:space="preserve">2 </w:t>
            </w:r>
            <w:r w:rsidR="00FF5661" w:rsidRPr="006E260D">
              <w:t>/ 0.033%</w:t>
            </w:r>
          </w:p>
        </w:tc>
      </w:tr>
      <w:tr w:rsidR="00FF5661" w:rsidRPr="005D3459" w14:paraId="260BF3B7" w14:textId="77777777" w:rsidTr="00977BE5">
        <w:tc>
          <w:tcPr>
            <w:tcW w:w="3539" w:type="dxa"/>
          </w:tcPr>
          <w:p w14:paraId="03B7563E" w14:textId="77777777" w:rsidR="00FF5661" w:rsidRPr="00B94830" w:rsidRDefault="00FF5661" w:rsidP="00977BE5">
            <w:pPr>
              <w:rPr>
                <w:b/>
                <w:bCs/>
              </w:rPr>
            </w:pPr>
            <w:r w:rsidRPr="00B94830">
              <w:rPr>
                <w:b/>
                <w:bCs/>
              </w:rPr>
              <w:t>Concurring Authority:</w:t>
            </w:r>
          </w:p>
        </w:tc>
        <w:tc>
          <w:tcPr>
            <w:tcW w:w="5477" w:type="dxa"/>
          </w:tcPr>
          <w:p w14:paraId="2B7441C5" w14:textId="77777777" w:rsidR="00FF5661" w:rsidRPr="002F6639" w:rsidRDefault="00FF5661" w:rsidP="00977BE5">
            <w:pPr>
              <w:jc w:val="both"/>
            </w:pPr>
            <w:r>
              <w:t>Delegated Authority</w:t>
            </w:r>
            <w:r w:rsidRPr="00805BBD">
              <w:t xml:space="preserve"> under assumed concurrence</w:t>
            </w:r>
          </w:p>
        </w:tc>
      </w:tr>
      <w:tr w:rsidR="00FF5661" w:rsidRPr="005D3459" w14:paraId="5CBE121C" w14:textId="77777777" w:rsidTr="00977BE5">
        <w:tc>
          <w:tcPr>
            <w:tcW w:w="3539" w:type="dxa"/>
          </w:tcPr>
          <w:p w14:paraId="33918275" w14:textId="77777777" w:rsidR="00FF5661" w:rsidRPr="00067FC7" w:rsidRDefault="00FF5661" w:rsidP="00977BE5">
            <w:pPr>
              <w:rPr>
                <w:b/>
                <w:bCs/>
              </w:rPr>
            </w:pPr>
            <w:r w:rsidRPr="00067FC7">
              <w:rPr>
                <w:b/>
                <w:bCs/>
              </w:rPr>
              <w:t>Date Determined:</w:t>
            </w:r>
          </w:p>
        </w:tc>
        <w:tc>
          <w:tcPr>
            <w:tcW w:w="5477" w:type="dxa"/>
          </w:tcPr>
          <w:p w14:paraId="70468736" w14:textId="77777777" w:rsidR="00FF5661" w:rsidRPr="00067FC7" w:rsidRDefault="00FF5661" w:rsidP="00977BE5">
            <w:pPr>
              <w:jc w:val="both"/>
            </w:pPr>
            <w:r w:rsidRPr="00067FC7">
              <w:t>29 July 2022</w:t>
            </w:r>
          </w:p>
        </w:tc>
      </w:tr>
    </w:tbl>
    <w:p w14:paraId="02C9A0CE" w14:textId="77777777" w:rsidR="00FF5661" w:rsidRDefault="00FF5661" w:rsidP="00FF5661"/>
    <w:p w14:paraId="0C2AB024" w14:textId="77777777" w:rsidR="00FF5661" w:rsidRDefault="00FF5661" w:rsidP="00FF5661"/>
    <w:p w14:paraId="45AA85BB" w14:textId="77777777" w:rsidR="0092297C" w:rsidRDefault="0092297C" w:rsidP="003679A3">
      <w:pPr>
        <w:spacing w:after="0" w:line="240" w:lineRule="auto"/>
        <w:rPr>
          <w:highlight w:val="yellow"/>
        </w:rPr>
      </w:pPr>
    </w:p>
    <w:p w14:paraId="4435C9A9" w14:textId="5E863621" w:rsidR="0092297C" w:rsidRDefault="0092297C" w:rsidP="003679A3">
      <w:pPr>
        <w:spacing w:after="0" w:line="240" w:lineRule="auto"/>
        <w:rPr>
          <w:highlight w:val="yellow"/>
        </w:rPr>
      </w:pPr>
    </w:p>
    <w:p w14:paraId="5DD772BE" w14:textId="2D59CC4D" w:rsidR="0092297C" w:rsidRDefault="0092297C" w:rsidP="003679A3">
      <w:pPr>
        <w:spacing w:after="0" w:line="240" w:lineRule="auto"/>
        <w:rPr>
          <w:highlight w:val="yellow"/>
        </w:rPr>
      </w:pPr>
    </w:p>
    <w:p w14:paraId="68FF6150" w14:textId="77777777" w:rsidR="0092297C" w:rsidRPr="005D3459" w:rsidRDefault="0092297C" w:rsidP="003679A3">
      <w:pPr>
        <w:spacing w:after="0" w:line="240" w:lineRule="auto"/>
        <w:rPr>
          <w:highlight w:val="yellow"/>
        </w:rPr>
      </w:pPr>
    </w:p>
    <w:p w14:paraId="0C7292A8" w14:textId="71591858" w:rsidR="00126DC1" w:rsidRPr="005D3459" w:rsidRDefault="002602E9" w:rsidP="003679A3">
      <w:pPr>
        <w:spacing w:after="0" w:line="240" w:lineRule="auto"/>
        <w:rPr>
          <w:highlight w:val="yellow"/>
        </w:rPr>
      </w:pPr>
      <w:r w:rsidRPr="002602E9">
        <w:t xml:space="preserve"> </w:t>
      </w:r>
    </w:p>
    <w:p w14:paraId="04B5B5DB" w14:textId="77777777" w:rsidR="00FF5661" w:rsidRDefault="00FF5661">
      <w:pPr>
        <w:rPr>
          <w:b/>
          <w:bCs/>
        </w:rPr>
      </w:pPr>
      <w:r>
        <w:rPr>
          <w:b/>
          <w:bCs/>
        </w:rPr>
        <w:br w:type="page"/>
      </w:r>
    </w:p>
    <w:p w14:paraId="343C48BC" w14:textId="71A8EF42" w:rsidR="00C67000" w:rsidRPr="00BB72B0" w:rsidRDefault="00C67000" w:rsidP="00C67000">
      <w:pPr>
        <w:spacing w:after="0" w:line="240" w:lineRule="auto"/>
        <w:rPr>
          <w:b/>
          <w:bCs/>
        </w:rPr>
      </w:pPr>
      <w:r w:rsidRPr="00BB72B0">
        <w:rPr>
          <w:b/>
          <w:bCs/>
        </w:rPr>
        <w:lastRenderedPageBreak/>
        <w:t xml:space="preserve">ITEM </w:t>
      </w:r>
      <w:r>
        <w:rPr>
          <w:b/>
          <w:bCs/>
        </w:rPr>
        <w:t>2</w:t>
      </w:r>
      <w:r w:rsidRPr="00BB72B0">
        <w:rPr>
          <w:b/>
          <w:bCs/>
        </w:rPr>
        <w:t xml:space="preserve"> – DA-504/2019 – 85 Governor Macquarie Drive, Chipping Norton</w:t>
      </w:r>
    </w:p>
    <w:p w14:paraId="07BF2FDD" w14:textId="77777777" w:rsidR="00C67000" w:rsidRPr="00BB72B0" w:rsidRDefault="00C67000" w:rsidP="00C67000">
      <w:pPr>
        <w:spacing w:after="0" w:line="240" w:lineRule="auto"/>
        <w:rPr>
          <w:b/>
          <w:bCs/>
        </w:rPr>
      </w:pPr>
    </w:p>
    <w:tbl>
      <w:tblPr>
        <w:tblStyle w:val="TableGrid"/>
        <w:tblW w:w="0" w:type="auto"/>
        <w:tblLook w:val="04A0" w:firstRow="1" w:lastRow="0" w:firstColumn="1" w:lastColumn="0" w:noHBand="0" w:noVBand="1"/>
      </w:tblPr>
      <w:tblGrid>
        <w:gridCol w:w="3539"/>
        <w:gridCol w:w="5477"/>
      </w:tblGrid>
      <w:tr w:rsidR="00C67000" w:rsidRPr="00BB72B0" w14:paraId="4FA8AEF2" w14:textId="77777777" w:rsidTr="00C43A52">
        <w:tc>
          <w:tcPr>
            <w:tcW w:w="3539" w:type="dxa"/>
          </w:tcPr>
          <w:p w14:paraId="4C9BE369" w14:textId="77777777" w:rsidR="00C67000" w:rsidRPr="00BB72B0" w:rsidRDefault="00C67000" w:rsidP="00C43A52">
            <w:pPr>
              <w:rPr>
                <w:b/>
                <w:bCs/>
              </w:rPr>
            </w:pPr>
            <w:r w:rsidRPr="00BB72B0">
              <w:rPr>
                <w:b/>
                <w:bCs/>
              </w:rPr>
              <w:t>DA Number:</w:t>
            </w:r>
          </w:p>
        </w:tc>
        <w:tc>
          <w:tcPr>
            <w:tcW w:w="5477" w:type="dxa"/>
          </w:tcPr>
          <w:p w14:paraId="137020D8" w14:textId="77777777" w:rsidR="00C67000" w:rsidRPr="00BB72B0" w:rsidRDefault="00C67000" w:rsidP="00C43A52">
            <w:pPr>
              <w:jc w:val="both"/>
              <w:rPr>
                <w:b/>
                <w:bCs/>
              </w:rPr>
            </w:pPr>
            <w:r w:rsidRPr="00BB72B0">
              <w:t>DA-504/2019</w:t>
            </w:r>
          </w:p>
        </w:tc>
      </w:tr>
      <w:tr w:rsidR="00C67000" w:rsidRPr="00BB72B0" w14:paraId="66C44C82" w14:textId="77777777" w:rsidTr="00C43A52">
        <w:tc>
          <w:tcPr>
            <w:tcW w:w="3539" w:type="dxa"/>
          </w:tcPr>
          <w:p w14:paraId="154C67C3" w14:textId="77777777" w:rsidR="00C67000" w:rsidRPr="00BB72B0" w:rsidRDefault="00C67000" w:rsidP="00C43A52">
            <w:pPr>
              <w:rPr>
                <w:b/>
                <w:bCs/>
              </w:rPr>
            </w:pPr>
            <w:r w:rsidRPr="00BB72B0">
              <w:rPr>
                <w:b/>
                <w:bCs/>
              </w:rPr>
              <w:t>Property Address:</w:t>
            </w:r>
          </w:p>
        </w:tc>
        <w:tc>
          <w:tcPr>
            <w:tcW w:w="5477" w:type="dxa"/>
          </w:tcPr>
          <w:p w14:paraId="2F356242" w14:textId="77777777" w:rsidR="00C67000" w:rsidRPr="00BB72B0" w:rsidRDefault="00C67000" w:rsidP="00C43A52">
            <w:pPr>
              <w:jc w:val="both"/>
            </w:pPr>
            <w:r w:rsidRPr="00BB72B0">
              <w:t>85 Governor Macquarie Drive, Chipping Norton</w:t>
            </w:r>
          </w:p>
          <w:p w14:paraId="2E073D38" w14:textId="77777777" w:rsidR="00C67000" w:rsidRPr="00BB72B0" w:rsidRDefault="00C67000" w:rsidP="00C43A52">
            <w:pPr>
              <w:jc w:val="both"/>
            </w:pPr>
            <w:r w:rsidRPr="00BB72B0">
              <w:t>Lot 39A DP 432241</w:t>
            </w:r>
          </w:p>
        </w:tc>
      </w:tr>
      <w:tr w:rsidR="00C67000" w:rsidRPr="00BB72B0" w14:paraId="723D6F55" w14:textId="77777777" w:rsidTr="00C43A52">
        <w:tc>
          <w:tcPr>
            <w:tcW w:w="3539" w:type="dxa"/>
          </w:tcPr>
          <w:p w14:paraId="13B7F5CA" w14:textId="77777777" w:rsidR="00C67000" w:rsidRPr="00BB72B0" w:rsidRDefault="00C67000" w:rsidP="00C43A52">
            <w:pPr>
              <w:rPr>
                <w:b/>
                <w:bCs/>
              </w:rPr>
            </w:pPr>
            <w:r w:rsidRPr="00BB72B0">
              <w:rPr>
                <w:b/>
                <w:bCs/>
              </w:rPr>
              <w:t>Development Category:</w:t>
            </w:r>
          </w:p>
        </w:tc>
        <w:tc>
          <w:tcPr>
            <w:tcW w:w="5477" w:type="dxa"/>
          </w:tcPr>
          <w:p w14:paraId="135D02B4" w14:textId="77777777" w:rsidR="00C67000" w:rsidRPr="00BB72B0" w:rsidRDefault="00C67000" w:rsidP="00C43A52">
            <w:pPr>
              <w:jc w:val="both"/>
            </w:pPr>
            <w:r w:rsidRPr="00BB72B0">
              <w:t>Industrial</w:t>
            </w:r>
          </w:p>
        </w:tc>
      </w:tr>
      <w:tr w:rsidR="00C67000" w:rsidRPr="005D3459" w14:paraId="2F69F4B8" w14:textId="77777777" w:rsidTr="00C43A52">
        <w:tc>
          <w:tcPr>
            <w:tcW w:w="3539" w:type="dxa"/>
          </w:tcPr>
          <w:p w14:paraId="39E4F5B5" w14:textId="77777777" w:rsidR="00C67000" w:rsidRPr="00BB72B0" w:rsidRDefault="00C67000" w:rsidP="00C43A52">
            <w:pPr>
              <w:rPr>
                <w:b/>
                <w:bCs/>
              </w:rPr>
            </w:pPr>
            <w:r w:rsidRPr="00BB72B0">
              <w:rPr>
                <w:b/>
                <w:bCs/>
              </w:rPr>
              <w:t>Description:</w:t>
            </w:r>
          </w:p>
        </w:tc>
        <w:tc>
          <w:tcPr>
            <w:tcW w:w="5477" w:type="dxa"/>
          </w:tcPr>
          <w:p w14:paraId="1FB2F4E7" w14:textId="77777777" w:rsidR="00C67000" w:rsidRPr="00C67000" w:rsidRDefault="00C67000" w:rsidP="00C43A52">
            <w:pPr>
              <w:jc w:val="both"/>
            </w:pPr>
            <w:r w:rsidRPr="00C67000">
              <w:t>Rectification of unauthorised works by retaining of a recently constructed building attached to an existing facility and use it as a powder coating facility</w:t>
            </w:r>
          </w:p>
        </w:tc>
      </w:tr>
      <w:tr w:rsidR="00C67000" w:rsidRPr="005D3459" w14:paraId="6B861CBF" w14:textId="77777777" w:rsidTr="00C43A52">
        <w:tc>
          <w:tcPr>
            <w:tcW w:w="3539" w:type="dxa"/>
          </w:tcPr>
          <w:p w14:paraId="0EDE1688" w14:textId="77777777" w:rsidR="00C67000" w:rsidRPr="0059344E" w:rsidRDefault="00C67000" w:rsidP="00C43A52">
            <w:pPr>
              <w:rPr>
                <w:b/>
                <w:bCs/>
              </w:rPr>
            </w:pPr>
            <w:r w:rsidRPr="0059344E">
              <w:rPr>
                <w:b/>
                <w:bCs/>
              </w:rPr>
              <w:t>Environmental Planning Instrument:</w:t>
            </w:r>
          </w:p>
        </w:tc>
        <w:tc>
          <w:tcPr>
            <w:tcW w:w="5477" w:type="dxa"/>
          </w:tcPr>
          <w:p w14:paraId="79131128" w14:textId="77777777" w:rsidR="00C67000" w:rsidRPr="00C67000" w:rsidRDefault="00C67000" w:rsidP="00C43A52">
            <w:pPr>
              <w:jc w:val="both"/>
            </w:pPr>
            <w:r w:rsidRPr="00C67000">
              <w:t>Liverpool LEP 2008</w:t>
            </w:r>
          </w:p>
        </w:tc>
      </w:tr>
      <w:tr w:rsidR="00C67000" w:rsidRPr="005D3459" w14:paraId="7895977A" w14:textId="77777777" w:rsidTr="00C43A52">
        <w:tc>
          <w:tcPr>
            <w:tcW w:w="3539" w:type="dxa"/>
          </w:tcPr>
          <w:p w14:paraId="1309B6E9" w14:textId="77777777" w:rsidR="00C67000" w:rsidRPr="0059344E" w:rsidRDefault="00C67000" w:rsidP="00C43A52">
            <w:pPr>
              <w:rPr>
                <w:b/>
                <w:bCs/>
              </w:rPr>
            </w:pPr>
            <w:r w:rsidRPr="0059344E">
              <w:rPr>
                <w:b/>
                <w:bCs/>
              </w:rPr>
              <w:t>Zoning of Land:</w:t>
            </w:r>
          </w:p>
        </w:tc>
        <w:tc>
          <w:tcPr>
            <w:tcW w:w="5477" w:type="dxa"/>
          </w:tcPr>
          <w:p w14:paraId="76BAD54B" w14:textId="77777777" w:rsidR="00C67000" w:rsidRPr="00C67000" w:rsidRDefault="00C67000" w:rsidP="00C43A52">
            <w:pPr>
              <w:jc w:val="both"/>
            </w:pPr>
            <w:r w:rsidRPr="00C67000">
              <w:t>IN2 – Light Industrial and IN3 – Heavy Industrial</w:t>
            </w:r>
          </w:p>
        </w:tc>
      </w:tr>
      <w:tr w:rsidR="00C67000" w:rsidRPr="005D3459" w14:paraId="3B82BCA4" w14:textId="77777777" w:rsidTr="00C43A52">
        <w:tc>
          <w:tcPr>
            <w:tcW w:w="3539" w:type="dxa"/>
          </w:tcPr>
          <w:p w14:paraId="1DE11FA1" w14:textId="77777777" w:rsidR="00C67000" w:rsidRPr="00290818" w:rsidRDefault="00C67000" w:rsidP="00C43A52">
            <w:pPr>
              <w:rPr>
                <w:b/>
                <w:bCs/>
              </w:rPr>
            </w:pPr>
            <w:r w:rsidRPr="00290818">
              <w:rPr>
                <w:b/>
                <w:bCs/>
              </w:rPr>
              <w:t>Development Standard Varied:</w:t>
            </w:r>
          </w:p>
        </w:tc>
        <w:tc>
          <w:tcPr>
            <w:tcW w:w="5477" w:type="dxa"/>
          </w:tcPr>
          <w:p w14:paraId="60872426" w14:textId="77777777" w:rsidR="00C67000" w:rsidRPr="00C67000" w:rsidRDefault="00C67000" w:rsidP="00C43A52">
            <w:pPr>
              <w:jc w:val="both"/>
            </w:pPr>
            <w:r w:rsidRPr="00C67000">
              <w:t>Clause 4.3 – Height of Buildings</w:t>
            </w:r>
          </w:p>
        </w:tc>
      </w:tr>
      <w:tr w:rsidR="00C67000" w:rsidRPr="005D3459" w14:paraId="55CD5C3A" w14:textId="77777777" w:rsidTr="00C43A52">
        <w:tc>
          <w:tcPr>
            <w:tcW w:w="3539" w:type="dxa"/>
          </w:tcPr>
          <w:p w14:paraId="218BBC91" w14:textId="77777777" w:rsidR="00C67000" w:rsidRPr="00B172DB" w:rsidRDefault="00C67000" w:rsidP="00C43A52">
            <w:pPr>
              <w:rPr>
                <w:b/>
                <w:bCs/>
              </w:rPr>
            </w:pPr>
            <w:r w:rsidRPr="00B172DB">
              <w:rPr>
                <w:b/>
                <w:bCs/>
              </w:rPr>
              <w:t>Justification of Variation:</w:t>
            </w:r>
          </w:p>
        </w:tc>
        <w:tc>
          <w:tcPr>
            <w:tcW w:w="5477" w:type="dxa"/>
          </w:tcPr>
          <w:p w14:paraId="08CDCA1D" w14:textId="77777777" w:rsidR="00C67000" w:rsidRPr="00C67000" w:rsidRDefault="00C67000" w:rsidP="00C43A52">
            <w:pPr>
              <w:jc w:val="both"/>
              <w:rPr>
                <w:rFonts w:eastAsia="Times New Roman"/>
              </w:rPr>
            </w:pPr>
            <w:r w:rsidRPr="00C67000">
              <w:t xml:space="preserve">The proposed variation to the maximum height of buildings development standard </w:t>
            </w:r>
            <w:proofErr w:type="gramStart"/>
            <w:r w:rsidRPr="00C67000">
              <w:t>is considered to be</w:t>
            </w:r>
            <w:proofErr w:type="gramEnd"/>
            <w:r w:rsidRPr="00C67000">
              <w:t xml:space="preserve"> acceptable in this instance. </w:t>
            </w:r>
            <w:r w:rsidRPr="00C67000">
              <w:rPr>
                <w:rFonts w:eastAsia="Times New Roman"/>
              </w:rPr>
              <w:t xml:space="preserve">Although the building exceeds the height limit, the roof pitch is angled, and the lowest point is under the 15m height control limit. </w:t>
            </w:r>
          </w:p>
          <w:p w14:paraId="59CF804B" w14:textId="77777777" w:rsidR="00C67000" w:rsidRPr="00C67000" w:rsidRDefault="00C67000" w:rsidP="00C43A52">
            <w:pPr>
              <w:jc w:val="both"/>
              <w:rPr>
                <w:rFonts w:eastAsia="Times New Roman"/>
              </w:rPr>
            </w:pPr>
          </w:p>
          <w:p w14:paraId="08799B36" w14:textId="77777777" w:rsidR="00C67000" w:rsidRPr="00C67000" w:rsidRDefault="00C67000" w:rsidP="00C43A52">
            <w:pPr>
              <w:jc w:val="both"/>
              <w:rPr>
                <w:rFonts w:ascii="Calibri" w:eastAsia="Times New Roman" w:hAnsi="Calibri" w:cs="Calibri"/>
              </w:rPr>
            </w:pPr>
            <w:r w:rsidRPr="00C67000">
              <w:rPr>
                <w:rFonts w:eastAsia="Times New Roman"/>
              </w:rPr>
              <w:t>The elements of the building which exceed the height limit are not considered to detract from the design and appearance of the building and would not impact on the amenity of neighbouring sites or the wider area. Furthermore, the additional height is not contributing to any detrimental increases in bulk and scale over the site including compliance with Floor Space Ratio provisions for the development.</w:t>
            </w:r>
          </w:p>
          <w:p w14:paraId="3C44118D" w14:textId="77777777" w:rsidR="00C67000" w:rsidRPr="00C67000" w:rsidRDefault="00C67000" w:rsidP="00C43A52">
            <w:pPr>
              <w:jc w:val="both"/>
            </w:pPr>
          </w:p>
          <w:p w14:paraId="1A622B23" w14:textId="77777777" w:rsidR="00C67000" w:rsidRPr="00C67000" w:rsidRDefault="00C67000" w:rsidP="00C43A52">
            <w:pPr>
              <w:jc w:val="both"/>
            </w:pPr>
            <w:r w:rsidRPr="00C67000">
              <w:t xml:space="preserve">The objectives of Clause 4.3 as well as the IN1 Light Industrial and IN3 Heavy Industrial would be upheld </w:t>
            </w:r>
            <w:proofErr w:type="gramStart"/>
            <w:r w:rsidRPr="00C67000">
              <w:t>as a result of</w:t>
            </w:r>
            <w:proofErr w:type="gramEnd"/>
            <w:r w:rsidRPr="00C67000">
              <w:t xml:space="preserve"> the proposed development.</w:t>
            </w:r>
          </w:p>
          <w:p w14:paraId="431D9A2F" w14:textId="77777777" w:rsidR="00C67000" w:rsidRPr="00C67000" w:rsidRDefault="00C67000" w:rsidP="00C43A52">
            <w:pPr>
              <w:jc w:val="both"/>
            </w:pPr>
          </w:p>
          <w:p w14:paraId="61B0C6F4" w14:textId="77777777" w:rsidR="00C67000" w:rsidRPr="00C67000" w:rsidRDefault="00C67000" w:rsidP="00C43A52">
            <w:pPr>
              <w:jc w:val="both"/>
            </w:pPr>
            <w:r w:rsidRPr="00C67000">
              <w:t>The maximum height of buildings is to be 15m. The maximum height proposed is 15.1m. This equates to a variation of 0.07% to the development standard.</w:t>
            </w:r>
          </w:p>
        </w:tc>
      </w:tr>
      <w:tr w:rsidR="00C67000" w:rsidRPr="005D3459" w14:paraId="4698B824" w14:textId="77777777" w:rsidTr="00C43A52">
        <w:tc>
          <w:tcPr>
            <w:tcW w:w="3539" w:type="dxa"/>
          </w:tcPr>
          <w:p w14:paraId="4257F1E4" w14:textId="77777777" w:rsidR="00C67000" w:rsidRPr="0025524D" w:rsidRDefault="00C67000" w:rsidP="00C43A52">
            <w:pPr>
              <w:rPr>
                <w:b/>
                <w:bCs/>
              </w:rPr>
            </w:pPr>
            <w:r w:rsidRPr="0025524D">
              <w:rPr>
                <w:b/>
                <w:bCs/>
              </w:rPr>
              <w:t>Extent of Variation:</w:t>
            </w:r>
          </w:p>
        </w:tc>
        <w:tc>
          <w:tcPr>
            <w:tcW w:w="5477" w:type="dxa"/>
          </w:tcPr>
          <w:p w14:paraId="42E782FB" w14:textId="77777777" w:rsidR="00C67000" w:rsidRPr="00C67000" w:rsidRDefault="00C67000" w:rsidP="00C43A52">
            <w:pPr>
              <w:jc w:val="both"/>
            </w:pPr>
            <w:r w:rsidRPr="00C67000">
              <w:t>0.1m / 0.07%</w:t>
            </w:r>
          </w:p>
        </w:tc>
      </w:tr>
      <w:tr w:rsidR="00C67000" w:rsidRPr="005D3459" w14:paraId="6AB923FA" w14:textId="77777777" w:rsidTr="00C43A52">
        <w:tc>
          <w:tcPr>
            <w:tcW w:w="3539" w:type="dxa"/>
          </w:tcPr>
          <w:p w14:paraId="6BDD1890" w14:textId="77777777" w:rsidR="00C67000" w:rsidRPr="0025524D" w:rsidRDefault="00C67000" w:rsidP="00C43A52">
            <w:pPr>
              <w:rPr>
                <w:b/>
                <w:bCs/>
              </w:rPr>
            </w:pPr>
            <w:r w:rsidRPr="0025524D">
              <w:rPr>
                <w:b/>
                <w:bCs/>
              </w:rPr>
              <w:t>Concurring Authority:</w:t>
            </w:r>
          </w:p>
        </w:tc>
        <w:tc>
          <w:tcPr>
            <w:tcW w:w="5477" w:type="dxa"/>
          </w:tcPr>
          <w:p w14:paraId="1C044433" w14:textId="77777777" w:rsidR="00C67000" w:rsidRPr="00C67000" w:rsidRDefault="00C67000" w:rsidP="00C43A52">
            <w:pPr>
              <w:jc w:val="both"/>
            </w:pPr>
            <w:r w:rsidRPr="00C67000">
              <w:t>Delegated Authority under assumed concurrence</w:t>
            </w:r>
          </w:p>
        </w:tc>
      </w:tr>
      <w:tr w:rsidR="00C67000" w14:paraId="0D628082" w14:textId="77777777" w:rsidTr="00C43A52">
        <w:tc>
          <w:tcPr>
            <w:tcW w:w="3539" w:type="dxa"/>
          </w:tcPr>
          <w:p w14:paraId="5BA62AA6" w14:textId="77777777" w:rsidR="00C67000" w:rsidRPr="0025524D" w:rsidRDefault="00C67000" w:rsidP="00C43A52">
            <w:pPr>
              <w:rPr>
                <w:b/>
                <w:bCs/>
              </w:rPr>
            </w:pPr>
            <w:r w:rsidRPr="0025524D">
              <w:rPr>
                <w:b/>
                <w:bCs/>
              </w:rPr>
              <w:t>Date Determined:</w:t>
            </w:r>
          </w:p>
        </w:tc>
        <w:tc>
          <w:tcPr>
            <w:tcW w:w="5477" w:type="dxa"/>
          </w:tcPr>
          <w:p w14:paraId="10BF13AD" w14:textId="77777777" w:rsidR="00C67000" w:rsidRPr="00C67000" w:rsidRDefault="00C67000" w:rsidP="00C43A52">
            <w:pPr>
              <w:jc w:val="both"/>
            </w:pPr>
            <w:r w:rsidRPr="00C67000">
              <w:t>15 September 2022</w:t>
            </w:r>
          </w:p>
        </w:tc>
      </w:tr>
    </w:tbl>
    <w:p w14:paraId="78FE6FFD" w14:textId="77777777" w:rsidR="00C67000" w:rsidRDefault="00C67000" w:rsidP="00126DC1">
      <w:pPr>
        <w:spacing w:after="0" w:line="240" w:lineRule="auto"/>
        <w:rPr>
          <w:b/>
          <w:bCs/>
        </w:rPr>
      </w:pPr>
    </w:p>
    <w:p w14:paraId="32EA9FF5" w14:textId="77777777" w:rsidR="00C67000" w:rsidRDefault="00C67000">
      <w:pPr>
        <w:rPr>
          <w:b/>
          <w:bCs/>
        </w:rPr>
      </w:pPr>
      <w:r>
        <w:rPr>
          <w:b/>
          <w:bCs/>
        </w:rPr>
        <w:br w:type="page"/>
      </w:r>
    </w:p>
    <w:p w14:paraId="4A52277F" w14:textId="286ACB30" w:rsidR="00126DC1" w:rsidRPr="00C96EBB" w:rsidRDefault="00126DC1" w:rsidP="00126DC1">
      <w:pPr>
        <w:spacing w:after="0" w:line="240" w:lineRule="auto"/>
        <w:rPr>
          <w:b/>
          <w:bCs/>
        </w:rPr>
      </w:pPr>
      <w:r w:rsidRPr="00C96EBB">
        <w:rPr>
          <w:b/>
          <w:bCs/>
        </w:rPr>
        <w:lastRenderedPageBreak/>
        <w:t xml:space="preserve">ITEM </w:t>
      </w:r>
      <w:r w:rsidR="00C67000">
        <w:rPr>
          <w:b/>
          <w:bCs/>
        </w:rPr>
        <w:t>3</w:t>
      </w:r>
      <w:r w:rsidRPr="00C96EBB">
        <w:rPr>
          <w:b/>
          <w:bCs/>
        </w:rPr>
        <w:t xml:space="preserve"> –</w:t>
      </w:r>
      <w:r w:rsidR="008255E8">
        <w:rPr>
          <w:b/>
          <w:bCs/>
        </w:rPr>
        <w:t xml:space="preserve"> </w:t>
      </w:r>
      <w:r w:rsidRPr="00C96EBB">
        <w:rPr>
          <w:b/>
          <w:bCs/>
        </w:rPr>
        <w:t>DA-</w:t>
      </w:r>
      <w:r w:rsidR="008614F2" w:rsidRPr="00C96EBB">
        <w:rPr>
          <w:b/>
          <w:bCs/>
        </w:rPr>
        <w:t>33</w:t>
      </w:r>
      <w:r w:rsidRPr="00C96EBB">
        <w:rPr>
          <w:b/>
          <w:bCs/>
        </w:rPr>
        <w:t xml:space="preserve">/2021 – </w:t>
      </w:r>
      <w:r w:rsidR="008614F2" w:rsidRPr="00C96EBB">
        <w:rPr>
          <w:b/>
          <w:bCs/>
        </w:rPr>
        <w:t>164-170 Croatia Avenue</w:t>
      </w:r>
      <w:r w:rsidRPr="00C96EBB">
        <w:rPr>
          <w:b/>
          <w:bCs/>
        </w:rPr>
        <w:t>, Edmondson Park</w:t>
      </w:r>
    </w:p>
    <w:p w14:paraId="4CC2069B" w14:textId="77777777" w:rsidR="00126DC1" w:rsidRPr="00C96EBB" w:rsidRDefault="00126DC1" w:rsidP="00126DC1">
      <w:pPr>
        <w:spacing w:after="0" w:line="240" w:lineRule="auto"/>
        <w:rPr>
          <w:b/>
          <w:bCs/>
        </w:rPr>
      </w:pPr>
    </w:p>
    <w:tbl>
      <w:tblPr>
        <w:tblStyle w:val="TableGrid"/>
        <w:tblW w:w="0" w:type="auto"/>
        <w:tblLook w:val="04A0" w:firstRow="1" w:lastRow="0" w:firstColumn="1" w:lastColumn="0" w:noHBand="0" w:noVBand="1"/>
      </w:tblPr>
      <w:tblGrid>
        <w:gridCol w:w="3539"/>
        <w:gridCol w:w="5477"/>
      </w:tblGrid>
      <w:tr w:rsidR="00126DC1" w:rsidRPr="00C96EBB" w14:paraId="41D22B3F" w14:textId="77777777" w:rsidTr="0092297C">
        <w:tc>
          <w:tcPr>
            <w:tcW w:w="3539" w:type="dxa"/>
          </w:tcPr>
          <w:p w14:paraId="4A844F7C" w14:textId="77777777" w:rsidR="00126DC1" w:rsidRPr="00C96EBB" w:rsidRDefault="00126DC1" w:rsidP="00DE207E">
            <w:pPr>
              <w:rPr>
                <w:b/>
                <w:bCs/>
              </w:rPr>
            </w:pPr>
            <w:r w:rsidRPr="00C96EBB">
              <w:rPr>
                <w:b/>
                <w:bCs/>
              </w:rPr>
              <w:t>DA Number:</w:t>
            </w:r>
          </w:p>
        </w:tc>
        <w:tc>
          <w:tcPr>
            <w:tcW w:w="5477" w:type="dxa"/>
          </w:tcPr>
          <w:p w14:paraId="50EA2675" w14:textId="1A10D738" w:rsidR="00126DC1" w:rsidRPr="00C96EBB" w:rsidRDefault="00126DC1" w:rsidP="00DE207E">
            <w:pPr>
              <w:jc w:val="both"/>
              <w:rPr>
                <w:b/>
                <w:bCs/>
              </w:rPr>
            </w:pPr>
            <w:r w:rsidRPr="00C96EBB">
              <w:t>DA-</w:t>
            </w:r>
            <w:r w:rsidR="00C52709" w:rsidRPr="00C96EBB">
              <w:t>33</w:t>
            </w:r>
            <w:r w:rsidRPr="00C96EBB">
              <w:t>/2021</w:t>
            </w:r>
          </w:p>
        </w:tc>
      </w:tr>
      <w:tr w:rsidR="00126DC1" w:rsidRPr="00C96EBB" w14:paraId="6D4F9F87" w14:textId="77777777" w:rsidTr="0092297C">
        <w:tc>
          <w:tcPr>
            <w:tcW w:w="3539" w:type="dxa"/>
          </w:tcPr>
          <w:p w14:paraId="36D1FA70" w14:textId="77777777" w:rsidR="00126DC1" w:rsidRPr="00C96EBB" w:rsidRDefault="00126DC1" w:rsidP="00DE207E">
            <w:pPr>
              <w:rPr>
                <w:b/>
                <w:bCs/>
              </w:rPr>
            </w:pPr>
            <w:r w:rsidRPr="00C96EBB">
              <w:rPr>
                <w:b/>
                <w:bCs/>
              </w:rPr>
              <w:t>Property Address:</w:t>
            </w:r>
          </w:p>
        </w:tc>
        <w:tc>
          <w:tcPr>
            <w:tcW w:w="5477" w:type="dxa"/>
          </w:tcPr>
          <w:p w14:paraId="73ADAF14" w14:textId="77777777" w:rsidR="00103BC7" w:rsidRPr="00C96EBB" w:rsidRDefault="00103BC7" w:rsidP="00103BC7">
            <w:pPr>
              <w:jc w:val="both"/>
            </w:pPr>
            <w:r w:rsidRPr="00C96EBB">
              <w:t>164 &amp; 170 Croatia Avenue, Edmondson Park</w:t>
            </w:r>
          </w:p>
          <w:p w14:paraId="30815967" w14:textId="06D84DF3" w:rsidR="00126DC1" w:rsidRPr="00C96EBB" w:rsidRDefault="00103BC7" w:rsidP="00103BC7">
            <w:pPr>
              <w:jc w:val="both"/>
            </w:pPr>
            <w:r w:rsidRPr="00C96EBB">
              <w:t>L</w:t>
            </w:r>
            <w:r w:rsidR="005C4F20">
              <w:t>ot</w:t>
            </w:r>
            <w:r w:rsidRPr="00C96EBB">
              <w:t xml:space="preserve"> 25 DP 228850, </w:t>
            </w:r>
            <w:r w:rsidR="005C4F20">
              <w:t>Lot</w:t>
            </w:r>
            <w:r w:rsidRPr="00C96EBB">
              <w:t xml:space="preserve"> 26 DP 228850</w:t>
            </w:r>
          </w:p>
        </w:tc>
      </w:tr>
      <w:tr w:rsidR="00126DC1" w:rsidRPr="00C96EBB" w14:paraId="6CD91634" w14:textId="77777777" w:rsidTr="0092297C">
        <w:tc>
          <w:tcPr>
            <w:tcW w:w="3539" w:type="dxa"/>
          </w:tcPr>
          <w:p w14:paraId="22A7F974" w14:textId="77777777" w:rsidR="00126DC1" w:rsidRPr="00C96EBB" w:rsidRDefault="00126DC1" w:rsidP="00DE207E">
            <w:pPr>
              <w:rPr>
                <w:b/>
                <w:bCs/>
              </w:rPr>
            </w:pPr>
            <w:r w:rsidRPr="00C96EBB">
              <w:rPr>
                <w:b/>
                <w:bCs/>
              </w:rPr>
              <w:t>Development Category:</w:t>
            </w:r>
          </w:p>
        </w:tc>
        <w:tc>
          <w:tcPr>
            <w:tcW w:w="5477" w:type="dxa"/>
          </w:tcPr>
          <w:p w14:paraId="211990EA" w14:textId="04623609" w:rsidR="00126DC1" w:rsidRPr="00C96EBB" w:rsidRDefault="00103BC7" w:rsidP="00DE207E">
            <w:pPr>
              <w:jc w:val="both"/>
            </w:pPr>
            <w:r w:rsidRPr="00C96EBB">
              <w:t xml:space="preserve">Mixed Use </w:t>
            </w:r>
          </w:p>
        </w:tc>
      </w:tr>
      <w:tr w:rsidR="00126DC1" w:rsidRPr="005D3459" w14:paraId="0C7D968F" w14:textId="77777777" w:rsidTr="0092297C">
        <w:tc>
          <w:tcPr>
            <w:tcW w:w="3539" w:type="dxa"/>
          </w:tcPr>
          <w:p w14:paraId="5F35C7BE" w14:textId="77777777" w:rsidR="00126DC1" w:rsidRPr="00290818" w:rsidRDefault="00126DC1" w:rsidP="00DE207E">
            <w:pPr>
              <w:rPr>
                <w:b/>
                <w:bCs/>
              </w:rPr>
            </w:pPr>
            <w:r w:rsidRPr="00290818">
              <w:rPr>
                <w:b/>
                <w:bCs/>
              </w:rPr>
              <w:t>Description:</w:t>
            </w:r>
          </w:p>
        </w:tc>
        <w:tc>
          <w:tcPr>
            <w:tcW w:w="5477" w:type="dxa"/>
          </w:tcPr>
          <w:p w14:paraId="2D3CB1CB" w14:textId="12A6FF2B" w:rsidR="00126DC1" w:rsidRPr="00290818" w:rsidRDefault="00C96EBB" w:rsidP="00DE207E">
            <w:pPr>
              <w:jc w:val="both"/>
            </w:pPr>
            <w:r w:rsidRPr="00290818">
              <w:t xml:space="preserve">Concept development application for a </w:t>
            </w:r>
            <w:r w:rsidR="00F52ED6" w:rsidRPr="00290818">
              <w:t>mixed-use</w:t>
            </w:r>
            <w:r w:rsidRPr="00290818">
              <w:t xml:space="preserve"> development as part of the Edmondson Park Town Centre comprising of residential apartments, retail/commercial floor space and supporting roads and infrastructure</w:t>
            </w:r>
          </w:p>
        </w:tc>
      </w:tr>
      <w:tr w:rsidR="006D72F7" w:rsidRPr="005D3459" w14:paraId="52921892" w14:textId="77777777" w:rsidTr="0092297C">
        <w:tc>
          <w:tcPr>
            <w:tcW w:w="3539" w:type="dxa"/>
          </w:tcPr>
          <w:p w14:paraId="25AAA05C" w14:textId="28778D41" w:rsidR="006D72F7" w:rsidRPr="00290818" w:rsidRDefault="006D72F7" w:rsidP="006D72F7">
            <w:pPr>
              <w:rPr>
                <w:b/>
                <w:bCs/>
              </w:rPr>
            </w:pPr>
            <w:r w:rsidRPr="0059344E">
              <w:rPr>
                <w:b/>
                <w:bCs/>
              </w:rPr>
              <w:t>Environmental Planning Instrument:</w:t>
            </w:r>
          </w:p>
        </w:tc>
        <w:tc>
          <w:tcPr>
            <w:tcW w:w="5477" w:type="dxa"/>
          </w:tcPr>
          <w:p w14:paraId="0D72AEE3" w14:textId="77777777" w:rsidR="006D72F7" w:rsidRPr="0059344E" w:rsidRDefault="006D72F7" w:rsidP="006D72F7">
            <w:pPr>
              <w:jc w:val="both"/>
            </w:pPr>
            <w:r w:rsidRPr="0059344E">
              <w:t xml:space="preserve">State Environmental Planning Policy (Precincts – Western Parkland City) 2021 Chapter 2 – State Significant Precincts, Appendix 1 – Edmondson Park </w:t>
            </w:r>
          </w:p>
          <w:p w14:paraId="03ABFDC1" w14:textId="77777777" w:rsidR="006D72F7" w:rsidRPr="0059344E" w:rsidRDefault="006D72F7" w:rsidP="006D72F7">
            <w:pPr>
              <w:jc w:val="both"/>
            </w:pPr>
          </w:p>
          <w:p w14:paraId="1DD6C00B" w14:textId="78328CEF" w:rsidR="006D72F7" w:rsidRPr="00290818" w:rsidRDefault="006D72F7" w:rsidP="006D72F7">
            <w:pPr>
              <w:jc w:val="both"/>
            </w:pPr>
            <w:r w:rsidRPr="0059344E">
              <w:t>(Formerly State Environmental Planning Policy (State Significant Precincts) 2005)</w:t>
            </w:r>
          </w:p>
        </w:tc>
      </w:tr>
      <w:tr w:rsidR="006D72F7" w:rsidRPr="005D3459" w14:paraId="75ACA0E2" w14:textId="77777777" w:rsidTr="0092297C">
        <w:tc>
          <w:tcPr>
            <w:tcW w:w="3539" w:type="dxa"/>
          </w:tcPr>
          <w:p w14:paraId="650D419B" w14:textId="46559307" w:rsidR="006D72F7" w:rsidRPr="00290818" w:rsidRDefault="006D72F7" w:rsidP="006D72F7">
            <w:pPr>
              <w:rPr>
                <w:b/>
                <w:bCs/>
              </w:rPr>
            </w:pPr>
            <w:r w:rsidRPr="0059344E">
              <w:rPr>
                <w:b/>
                <w:bCs/>
              </w:rPr>
              <w:t>Zoning of Land:</w:t>
            </w:r>
          </w:p>
        </w:tc>
        <w:tc>
          <w:tcPr>
            <w:tcW w:w="5477" w:type="dxa"/>
          </w:tcPr>
          <w:p w14:paraId="489ACCB9" w14:textId="5BF64417" w:rsidR="006D72F7" w:rsidRPr="00290818" w:rsidRDefault="006D72F7" w:rsidP="006D72F7">
            <w:pPr>
              <w:jc w:val="both"/>
            </w:pPr>
            <w:r w:rsidRPr="0059344E">
              <w:t>B4 – Mixed Use</w:t>
            </w:r>
          </w:p>
        </w:tc>
      </w:tr>
      <w:tr w:rsidR="006D72F7" w:rsidRPr="005D3459" w14:paraId="516DFE83" w14:textId="77777777" w:rsidTr="0092297C">
        <w:tc>
          <w:tcPr>
            <w:tcW w:w="3539" w:type="dxa"/>
          </w:tcPr>
          <w:p w14:paraId="7973124D" w14:textId="119F0A50" w:rsidR="006D72F7" w:rsidRPr="00290818" w:rsidRDefault="006D72F7" w:rsidP="006D72F7">
            <w:pPr>
              <w:rPr>
                <w:b/>
                <w:bCs/>
              </w:rPr>
            </w:pPr>
            <w:r w:rsidRPr="00290818">
              <w:rPr>
                <w:b/>
                <w:bCs/>
              </w:rPr>
              <w:t>Development Standard Varied:</w:t>
            </w:r>
          </w:p>
        </w:tc>
        <w:tc>
          <w:tcPr>
            <w:tcW w:w="5477" w:type="dxa"/>
          </w:tcPr>
          <w:p w14:paraId="4E91FB99" w14:textId="1D5B5E61" w:rsidR="006D72F7" w:rsidRPr="00290818" w:rsidRDefault="006D72F7" w:rsidP="006D72F7">
            <w:pPr>
              <w:jc w:val="both"/>
            </w:pPr>
            <w:r w:rsidRPr="00290818">
              <w:t>Clause 18 – Height of Buildings</w:t>
            </w:r>
          </w:p>
        </w:tc>
      </w:tr>
      <w:tr w:rsidR="006D72F7" w:rsidRPr="005D3459" w14:paraId="7A09D6C2" w14:textId="77777777" w:rsidTr="0092297C">
        <w:tc>
          <w:tcPr>
            <w:tcW w:w="3539" w:type="dxa"/>
          </w:tcPr>
          <w:p w14:paraId="215B14EC" w14:textId="5540755F" w:rsidR="006D72F7" w:rsidRPr="00290818" w:rsidRDefault="006D72F7" w:rsidP="006D72F7">
            <w:pPr>
              <w:rPr>
                <w:b/>
                <w:bCs/>
              </w:rPr>
            </w:pPr>
            <w:r w:rsidRPr="00B172DB">
              <w:rPr>
                <w:b/>
                <w:bCs/>
              </w:rPr>
              <w:t>Justification of Variation:</w:t>
            </w:r>
          </w:p>
        </w:tc>
        <w:tc>
          <w:tcPr>
            <w:tcW w:w="5477" w:type="dxa"/>
          </w:tcPr>
          <w:p w14:paraId="24E397F4" w14:textId="77777777" w:rsidR="006D72F7" w:rsidRPr="00B172DB" w:rsidRDefault="006D72F7" w:rsidP="006D72F7">
            <w:pPr>
              <w:jc w:val="both"/>
            </w:pPr>
            <w:r w:rsidRPr="00536BFD">
              <w:t xml:space="preserve">The proposed variation to the maximum height of buildings development standard </w:t>
            </w:r>
            <w:proofErr w:type="gramStart"/>
            <w:r w:rsidRPr="00536BFD">
              <w:t>is considered to be</w:t>
            </w:r>
            <w:proofErr w:type="gramEnd"/>
            <w:r w:rsidRPr="00536BFD">
              <w:t xml:space="preserve"> acceptable in this instance. </w:t>
            </w:r>
            <w:r w:rsidRPr="00B172DB">
              <w:t xml:space="preserve">The proposed development </w:t>
            </w:r>
            <w:proofErr w:type="gramStart"/>
            <w:r w:rsidRPr="00B172DB">
              <w:t>is considered to be</w:t>
            </w:r>
            <w:proofErr w:type="gramEnd"/>
            <w:r w:rsidRPr="00B172DB">
              <w:t xml:space="preserve"> consistent with the built form proposed within other precincts of the Edmondson Park Town Centre and is much less compared to what has been approved over the adjoining </w:t>
            </w:r>
            <w:proofErr w:type="spellStart"/>
            <w:r w:rsidRPr="00B172DB">
              <w:t>Landcom</w:t>
            </w:r>
            <w:proofErr w:type="spellEnd"/>
            <w:r w:rsidRPr="00B172DB">
              <w:t xml:space="preserve"> and Frasers precincts. Additionally, the increase in the height proposed ensures that better amenity can be provided to the future occupants of the buildings with communal open space on rooftops and opportunities for better open space areas.</w:t>
            </w:r>
          </w:p>
          <w:p w14:paraId="4A492855" w14:textId="77777777" w:rsidR="006D72F7" w:rsidRPr="00B172DB" w:rsidRDefault="006D72F7" w:rsidP="006D72F7">
            <w:pPr>
              <w:jc w:val="both"/>
            </w:pPr>
          </w:p>
          <w:p w14:paraId="739D23A9" w14:textId="77777777" w:rsidR="006D72F7" w:rsidRPr="00B172DB" w:rsidRDefault="006D72F7" w:rsidP="006D72F7">
            <w:pPr>
              <w:jc w:val="both"/>
            </w:pPr>
            <w:r w:rsidRPr="00B172DB">
              <w:t xml:space="preserve">The objectives of Clause 18 of the SEPP as well as Clause 4.3 and B4 Mixed Use zoning would be upheld </w:t>
            </w:r>
            <w:proofErr w:type="gramStart"/>
            <w:r w:rsidRPr="00B172DB">
              <w:t>as a result of</w:t>
            </w:r>
            <w:proofErr w:type="gramEnd"/>
            <w:r w:rsidRPr="00B172DB">
              <w:t xml:space="preserve"> the proposed development.</w:t>
            </w:r>
          </w:p>
          <w:p w14:paraId="6E6E01FA" w14:textId="77777777" w:rsidR="006D72F7" w:rsidRPr="00B172DB" w:rsidRDefault="006D72F7" w:rsidP="006D72F7">
            <w:pPr>
              <w:jc w:val="both"/>
            </w:pPr>
          </w:p>
          <w:p w14:paraId="3E3E6086" w14:textId="0D4ED021" w:rsidR="006D72F7" w:rsidRPr="00290818" w:rsidRDefault="006D72F7" w:rsidP="006D72F7">
            <w:pPr>
              <w:jc w:val="both"/>
            </w:pPr>
            <w:r w:rsidRPr="00B172DB">
              <w:t>The maximum height of buildings is to be 24m. The maximum height proposed as part of this concept is 30.8m to the lift overrun of Building F. This equates to a variation of 28% to the development standard.</w:t>
            </w:r>
          </w:p>
        </w:tc>
      </w:tr>
      <w:tr w:rsidR="006D72F7" w:rsidRPr="005D3459" w14:paraId="0239636B" w14:textId="77777777" w:rsidTr="0092297C">
        <w:tc>
          <w:tcPr>
            <w:tcW w:w="3539" w:type="dxa"/>
          </w:tcPr>
          <w:p w14:paraId="20110414" w14:textId="239342A7" w:rsidR="006D72F7" w:rsidRPr="00290818" w:rsidRDefault="006D72F7" w:rsidP="006D72F7">
            <w:pPr>
              <w:rPr>
                <w:b/>
                <w:bCs/>
              </w:rPr>
            </w:pPr>
            <w:r w:rsidRPr="0025524D">
              <w:rPr>
                <w:b/>
                <w:bCs/>
              </w:rPr>
              <w:t>Extent of Variation:</w:t>
            </w:r>
          </w:p>
        </w:tc>
        <w:tc>
          <w:tcPr>
            <w:tcW w:w="5477" w:type="dxa"/>
          </w:tcPr>
          <w:p w14:paraId="47D6459D" w14:textId="6370D124" w:rsidR="006D72F7" w:rsidRPr="00290818" w:rsidRDefault="006D72F7" w:rsidP="006D72F7">
            <w:pPr>
              <w:jc w:val="both"/>
            </w:pPr>
            <w:r>
              <w:t>6</w:t>
            </w:r>
            <w:r w:rsidRPr="0025524D">
              <w:t xml:space="preserve">.8m </w:t>
            </w:r>
            <w:r>
              <w:t xml:space="preserve">/ </w:t>
            </w:r>
            <w:r w:rsidRPr="0025524D">
              <w:t>28</w:t>
            </w:r>
            <w:r>
              <w:t>.3</w:t>
            </w:r>
            <w:r w:rsidRPr="0025524D">
              <w:t xml:space="preserve">% </w:t>
            </w:r>
          </w:p>
        </w:tc>
      </w:tr>
      <w:tr w:rsidR="006D72F7" w:rsidRPr="005D3459" w14:paraId="506EAA6E" w14:textId="77777777" w:rsidTr="0092297C">
        <w:tc>
          <w:tcPr>
            <w:tcW w:w="3539" w:type="dxa"/>
          </w:tcPr>
          <w:p w14:paraId="28E5251B" w14:textId="7A142F10" w:rsidR="006D72F7" w:rsidRPr="00290818" w:rsidRDefault="006D72F7" w:rsidP="006D72F7">
            <w:pPr>
              <w:rPr>
                <w:b/>
                <w:bCs/>
              </w:rPr>
            </w:pPr>
            <w:r w:rsidRPr="0025524D">
              <w:rPr>
                <w:b/>
                <w:bCs/>
              </w:rPr>
              <w:t>Concurring Authority:</w:t>
            </w:r>
          </w:p>
        </w:tc>
        <w:tc>
          <w:tcPr>
            <w:tcW w:w="5477" w:type="dxa"/>
          </w:tcPr>
          <w:p w14:paraId="79CD34C7" w14:textId="735E629C" w:rsidR="006D72F7" w:rsidRPr="00290818" w:rsidRDefault="006D72F7" w:rsidP="006D72F7">
            <w:pPr>
              <w:jc w:val="both"/>
            </w:pPr>
            <w:r w:rsidRPr="0025524D">
              <w:t>Sydney Western City Planning Panel under assumed concurrence</w:t>
            </w:r>
          </w:p>
        </w:tc>
      </w:tr>
      <w:tr w:rsidR="006D72F7" w:rsidRPr="005D3459" w14:paraId="543BD6D3" w14:textId="77777777" w:rsidTr="0092297C">
        <w:tc>
          <w:tcPr>
            <w:tcW w:w="3539" w:type="dxa"/>
          </w:tcPr>
          <w:p w14:paraId="3BAB614E" w14:textId="06F9E6CC" w:rsidR="006D72F7" w:rsidRPr="00290818" w:rsidRDefault="006D72F7" w:rsidP="006D72F7">
            <w:pPr>
              <w:rPr>
                <w:b/>
                <w:bCs/>
              </w:rPr>
            </w:pPr>
            <w:r w:rsidRPr="0025524D">
              <w:rPr>
                <w:b/>
                <w:bCs/>
              </w:rPr>
              <w:t>Date Determined:</w:t>
            </w:r>
          </w:p>
        </w:tc>
        <w:tc>
          <w:tcPr>
            <w:tcW w:w="5477" w:type="dxa"/>
          </w:tcPr>
          <w:p w14:paraId="38C0B711" w14:textId="3C17D7C8" w:rsidR="006D72F7" w:rsidRPr="00290818" w:rsidRDefault="006D72F7" w:rsidP="006D72F7">
            <w:pPr>
              <w:jc w:val="both"/>
            </w:pPr>
            <w:r w:rsidRPr="0025524D">
              <w:t>20 September 2022</w:t>
            </w:r>
          </w:p>
        </w:tc>
      </w:tr>
    </w:tbl>
    <w:p w14:paraId="44225617" w14:textId="05141A8D" w:rsidR="009D032A" w:rsidRDefault="009D032A" w:rsidP="00C67000"/>
    <w:sectPr w:rsidR="009D03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6A4D" w14:textId="77777777" w:rsidR="006233EF" w:rsidRDefault="006233EF" w:rsidP="006233EF">
      <w:pPr>
        <w:spacing w:after="0" w:line="240" w:lineRule="auto"/>
      </w:pPr>
      <w:r>
        <w:separator/>
      </w:r>
    </w:p>
  </w:endnote>
  <w:endnote w:type="continuationSeparator" w:id="0">
    <w:p w14:paraId="3F493F3A" w14:textId="77777777" w:rsidR="006233EF" w:rsidRDefault="006233EF" w:rsidP="0062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CB87" w14:textId="77777777" w:rsidR="006233EF" w:rsidRDefault="006233EF" w:rsidP="006233EF">
      <w:pPr>
        <w:spacing w:after="0" w:line="240" w:lineRule="auto"/>
      </w:pPr>
      <w:r>
        <w:separator/>
      </w:r>
    </w:p>
  </w:footnote>
  <w:footnote w:type="continuationSeparator" w:id="0">
    <w:p w14:paraId="1AC6F680" w14:textId="77777777" w:rsidR="006233EF" w:rsidRDefault="006233EF" w:rsidP="0062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5292" w14:textId="77777777" w:rsidR="00313E0A" w:rsidRDefault="00313E0A" w:rsidP="00313E0A">
    <w:pPr>
      <w:spacing w:after="0" w:line="240" w:lineRule="auto"/>
      <w:jc w:val="center"/>
      <w:rPr>
        <w:b/>
        <w:bCs/>
      </w:rPr>
    </w:pPr>
    <w:r>
      <w:rPr>
        <w:b/>
        <w:bCs/>
      </w:rPr>
      <w:t>ATTACHMENT 1 – CLAUSE 4.6 VARIATION REGISTER</w:t>
    </w:r>
  </w:p>
  <w:p w14:paraId="6ED151A0" w14:textId="632EE09E" w:rsidR="00313E0A" w:rsidRDefault="00313E0A" w:rsidP="00313E0A">
    <w:pPr>
      <w:pStyle w:val="Header"/>
    </w:pPr>
    <w:r>
      <w:tab/>
    </w:r>
    <w:r>
      <w:t>Jul</w:t>
    </w:r>
    <w:r>
      <w:t xml:space="preserve">, </w:t>
    </w:r>
    <w:r>
      <w:t xml:space="preserve">Aug, Sep </w:t>
    </w:r>
    <w:r>
      <w:t>2022</w:t>
    </w:r>
  </w:p>
  <w:p w14:paraId="6ED9F784" w14:textId="7B495EF1" w:rsidR="007070C7" w:rsidRDefault="007070C7">
    <w:pPr>
      <w:pStyle w:val="Header"/>
    </w:pPr>
  </w:p>
  <w:p w14:paraId="12F0DF0B" w14:textId="77777777" w:rsidR="007070C7" w:rsidRDefault="0070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46015"/>
    <w:multiLevelType w:val="hybridMultilevel"/>
    <w:tmpl w:val="4AD2D15E"/>
    <w:lvl w:ilvl="0" w:tplc="6986A08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1">
    <w:nsid w:val="6D0119F7"/>
    <w:multiLevelType w:val="hybridMultilevel"/>
    <w:tmpl w:val="89EEE9C2"/>
    <w:lvl w:ilvl="0" w:tplc="0C090001">
      <w:start w:val="1"/>
      <w:numFmt w:val="bullet"/>
      <w:lvlText w:val=""/>
      <w:lvlJc w:val="left"/>
      <w:pPr>
        <w:ind w:left="720" w:hanging="360"/>
      </w:pPr>
      <w:rPr>
        <w:rFonts w:ascii="Symbol" w:hAnsi="Symbol" w:hint="default"/>
      </w:rPr>
    </w:lvl>
    <w:lvl w:ilvl="1" w:tplc="5CB280A2">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2789702">
    <w:abstractNumId w:val="1"/>
  </w:num>
  <w:num w:numId="2" w16cid:durableId="1547638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A3"/>
    <w:rsid w:val="00067FC7"/>
    <w:rsid w:val="00103BC7"/>
    <w:rsid w:val="00104CB3"/>
    <w:rsid w:val="00126DC1"/>
    <w:rsid w:val="0019490A"/>
    <w:rsid w:val="001E18FD"/>
    <w:rsid w:val="001F77D9"/>
    <w:rsid w:val="0025524D"/>
    <w:rsid w:val="002602E9"/>
    <w:rsid w:val="00290818"/>
    <w:rsid w:val="002B484D"/>
    <w:rsid w:val="002C6ECB"/>
    <w:rsid w:val="002E6D2D"/>
    <w:rsid w:val="002F6639"/>
    <w:rsid w:val="00313E0A"/>
    <w:rsid w:val="0035008F"/>
    <w:rsid w:val="00355A99"/>
    <w:rsid w:val="003679A3"/>
    <w:rsid w:val="003A224D"/>
    <w:rsid w:val="003A52F2"/>
    <w:rsid w:val="003A7893"/>
    <w:rsid w:val="00461414"/>
    <w:rsid w:val="00496959"/>
    <w:rsid w:val="004A3739"/>
    <w:rsid w:val="004B59E8"/>
    <w:rsid w:val="004E07F9"/>
    <w:rsid w:val="005221AA"/>
    <w:rsid w:val="00536BFD"/>
    <w:rsid w:val="00544BDA"/>
    <w:rsid w:val="005616CE"/>
    <w:rsid w:val="0059344E"/>
    <w:rsid w:val="005C4F20"/>
    <w:rsid w:val="005D3459"/>
    <w:rsid w:val="006233EF"/>
    <w:rsid w:val="00682FDE"/>
    <w:rsid w:val="006A00C3"/>
    <w:rsid w:val="006D72F7"/>
    <w:rsid w:val="006E07D4"/>
    <w:rsid w:val="006E260D"/>
    <w:rsid w:val="006E7677"/>
    <w:rsid w:val="00704F22"/>
    <w:rsid w:val="007070C7"/>
    <w:rsid w:val="00715CE8"/>
    <w:rsid w:val="00744435"/>
    <w:rsid w:val="00805BBD"/>
    <w:rsid w:val="008255E8"/>
    <w:rsid w:val="008614F2"/>
    <w:rsid w:val="008A49BA"/>
    <w:rsid w:val="008B649E"/>
    <w:rsid w:val="008E27CD"/>
    <w:rsid w:val="008E7B8F"/>
    <w:rsid w:val="00900F21"/>
    <w:rsid w:val="0091190B"/>
    <w:rsid w:val="00912B85"/>
    <w:rsid w:val="00916D77"/>
    <w:rsid w:val="0092297C"/>
    <w:rsid w:val="009A7029"/>
    <w:rsid w:val="009D032A"/>
    <w:rsid w:val="00A551BE"/>
    <w:rsid w:val="00A628A5"/>
    <w:rsid w:val="00AB580D"/>
    <w:rsid w:val="00B12018"/>
    <w:rsid w:val="00B172DB"/>
    <w:rsid w:val="00B24B84"/>
    <w:rsid w:val="00B360CF"/>
    <w:rsid w:val="00B4387B"/>
    <w:rsid w:val="00B94830"/>
    <w:rsid w:val="00BB72B0"/>
    <w:rsid w:val="00BD1879"/>
    <w:rsid w:val="00BF7EA8"/>
    <w:rsid w:val="00C05941"/>
    <w:rsid w:val="00C077BE"/>
    <w:rsid w:val="00C33001"/>
    <w:rsid w:val="00C52709"/>
    <w:rsid w:val="00C61AB8"/>
    <w:rsid w:val="00C67000"/>
    <w:rsid w:val="00C7422A"/>
    <w:rsid w:val="00C92E1E"/>
    <w:rsid w:val="00C958A1"/>
    <w:rsid w:val="00C96EBB"/>
    <w:rsid w:val="00CA55FB"/>
    <w:rsid w:val="00D137F3"/>
    <w:rsid w:val="00DB45A9"/>
    <w:rsid w:val="00DC5659"/>
    <w:rsid w:val="00EA35A5"/>
    <w:rsid w:val="00EC389F"/>
    <w:rsid w:val="00EC4BD2"/>
    <w:rsid w:val="00F5252A"/>
    <w:rsid w:val="00F52ED6"/>
    <w:rsid w:val="00F73506"/>
    <w:rsid w:val="00FC18F3"/>
    <w:rsid w:val="00FD72F0"/>
    <w:rsid w:val="00FF5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6C9B"/>
  <w15:chartTrackingRefBased/>
  <w15:docId w15:val="{AE5F1C6A-4E84-411E-AADC-E4D72042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A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9A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70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C6ECB"/>
    <w:pPr>
      <w:spacing w:after="0" w:line="240" w:lineRule="auto"/>
      <w:ind w:left="720"/>
    </w:pPr>
    <w:rPr>
      <w:rFonts w:ascii="Calibri" w:hAnsi="Calibri" w:cs="Calibri"/>
    </w:rPr>
  </w:style>
  <w:style w:type="paragraph" w:styleId="Header">
    <w:name w:val="header"/>
    <w:basedOn w:val="Normal"/>
    <w:link w:val="HeaderChar"/>
    <w:uiPriority w:val="99"/>
    <w:unhideWhenUsed/>
    <w:rsid w:val="0062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EF"/>
    <w:rPr>
      <w:rFonts w:ascii="Arial" w:hAnsi="Arial" w:cs="Arial"/>
    </w:rPr>
  </w:style>
  <w:style w:type="paragraph" w:styleId="Footer">
    <w:name w:val="footer"/>
    <w:basedOn w:val="Normal"/>
    <w:link w:val="FooterChar"/>
    <w:uiPriority w:val="99"/>
    <w:unhideWhenUsed/>
    <w:rsid w:val="0062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3E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6461">
      <w:bodyDiv w:val="1"/>
      <w:marLeft w:val="0"/>
      <w:marRight w:val="0"/>
      <w:marTop w:val="0"/>
      <w:marBottom w:val="0"/>
      <w:divBdr>
        <w:top w:val="none" w:sz="0" w:space="0" w:color="auto"/>
        <w:left w:val="none" w:sz="0" w:space="0" w:color="auto"/>
        <w:bottom w:val="none" w:sz="0" w:space="0" w:color="auto"/>
        <w:right w:val="none" w:sz="0" w:space="0" w:color="auto"/>
      </w:divBdr>
    </w:div>
    <w:div w:id="2054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825</Words>
  <Characters>4613</Characters>
  <Application>Microsoft Office Word</Application>
  <DocSecurity>0</DocSecurity>
  <Lines>170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Micallef</dc:creator>
  <cp:keywords/>
  <dc:description/>
  <cp:lastModifiedBy>Sharon Zunic</cp:lastModifiedBy>
  <cp:revision>88</cp:revision>
  <cp:lastPrinted>2022-10-05T06:37:00Z</cp:lastPrinted>
  <dcterms:created xsi:type="dcterms:W3CDTF">2022-07-04T01:42:00Z</dcterms:created>
  <dcterms:modified xsi:type="dcterms:W3CDTF">2022-10-06T06:29:00Z</dcterms:modified>
</cp:coreProperties>
</file>