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F6DE" w14:textId="1C44D481" w:rsidR="00CF6020" w:rsidRPr="003628E8" w:rsidRDefault="00CF6020" w:rsidP="00CF6020">
      <w:pPr>
        <w:spacing w:after="0" w:line="240" w:lineRule="auto"/>
        <w:rPr>
          <w:b/>
          <w:bCs/>
        </w:rPr>
      </w:pPr>
      <w:r w:rsidRPr="003628E8">
        <w:rPr>
          <w:b/>
          <w:bCs/>
        </w:rPr>
        <w:t>ITEM 1 –</w:t>
      </w:r>
      <w:r w:rsidR="00A14AF9" w:rsidRPr="003628E8">
        <w:rPr>
          <w:b/>
          <w:bCs/>
        </w:rPr>
        <w:t xml:space="preserve"> </w:t>
      </w:r>
      <w:r w:rsidRPr="003628E8">
        <w:rPr>
          <w:b/>
          <w:bCs/>
        </w:rPr>
        <w:t>DA-</w:t>
      </w:r>
      <w:r w:rsidR="00A14AF9" w:rsidRPr="003628E8">
        <w:rPr>
          <w:b/>
          <w:bCs/>
        </w:rPr>
        <w:t>1305/2021 – 2-3 Wilga Close,</w:t>
      </w:r>
      <w:r w:rsidR="00FF2440" w:rsidRPr="003628E8">
        <w:rPr>
          <w:b/>
          <w:bCs/>
        </w:rPr>
        <w:t xml:space="preserve"> Casula</w:t>
      </w:r>
    </w:p>
    <w:p w14:paraId="43D566AF" w14:textId="77777777" w:rsidR="00CF6020" w:rsidRPr="003628E8" w:rsidRDefault="00CF6020" w:rsidP="00CF6020">
      <w:pPr>
        <w:spacing w:after="0" w:line="240" w:lineRule="auto"/>
        <w:rPr>
          <w:b/>
          <w:bCs/>
        </w:rPr>
      </w:pPr>
    </w:p>
    <w:tbl>
      <w:tblPr>
        <w:tblStyle w:val="TableGrid"/>
        <w:tblW w:w="0" w:type="auto"/>
        <w:tblLook w:val="04A0" w:firstRow="1" w:lastRow="0" w:firstColumn="1" w:lastColumn="0" w:noHBand="0" w:noVBand="1"/>
      </w:tblPr>
      <w:tblGrid>
        <w:gridCol w:w="3539"/>
        <w:gridCol w:w="5477"/>
      </w:tblGrid>
      <w:tr w:rsidR="00CF6020" w:rsidRPr="003628E8" w14:paraId="2D549F69" w14:textId="77777777" w:rsidTr="00BB42FF">
        <w:tc>
          <w:tcPr>
            <w:tcW w:w="3539" w:type="dxa"/>
          </w:tcPr>
          <w:p w14:paraId="6CD11EB7" w14:textId="77777777" w:rsidR="00CF6020" w:rsidRPr="003628E8" w:rsidRDefault="00CF6020" w:rsidP="00BB42FF">
            <w:pPr>
              <w:rPr>
                <w:b/>
                <w:bCs/>
              </w:rPr>
            </w:pPr>
            <w:r w:rsidRPr="003628E8">
              <w:rPr>
                <w:b/>
                <w:bCs/>
              </w:rPr>
              <w:t>DA Number:</w:t>
            </w:r>
          </w:p>
        </w:tc>
        <w:tc>
          <w:tcPr>
            <w:tcW w:w="5477" w:type="dxa"/>
          </w:tcPr>
          <w:p w14:paraId="2D944CD7" w14:textId="32C3DE7A" w:rsidR="00CF6020" w:rsidRPr="003628E8" w:rsidRDefault="00CF6020" w:rsidP="00BB42FF">
            <w:pPr>
              <w:jc w:val="both"/>
              <w:rPr>
                <w:b/>
                <w:bCs/>
              </w:rPr>
            </w:pPr>
            <w:r w:rsidRPr="003628E8">
              <w:t>DA-</w:t>
            </w:r>
            <w:r w:rsidR="009E072B" w:rsidRPr="003628E8">
              <w:t>1305/2021</w:t>
            </w:r>
          </w:p>
        </w:tc>
      </w:tr>
      <w:tr w:rsidR="00CF6020" w:rsidRPr="003628E8" w14:paraId="15CF79B0" w14:textId="77777777" w:rsidTr="00BB42FF">
        <w:tc>
          <w:tcPr>
            <w:tcW w:w="3539" w:type="dxa"/>
          </w:tcPr>
          <w:p w14:paraId="227447AD" w14:textId="77777777" w:rsidR="00CF6020" w:rsidRPr="003628E8" w:rsidRDefault="00CF6020" w:rsidP="00BB42FF">
            <w:pPr>
              <w:rPr>
                <w:b/>
                <w:bCs/>
              </w:rPr>
            </w:pPr>
            <w:r w:rsidRPr="003628E8">
              <w:rPr>
                <w:b/>
                <w:bCs/>
              </w:rPr>
              <w:t>Property Address:</w:t>
            </w:r>
          </w:p>
        </w:tc>
        <w:tc>
          <w:tcPr>
            <w:tcW w:w="5477" w:type="dxa"/>
          </w:tcPr>
          <w:p w14:paraId="5A6994B8" w14:textId="77777777" w:rsidR="00062B54" w:rsidRPr="003628E8" w:rsidRDefault="00062B54" w:rsidP="00BB42FF">
            <w:pPr>
              <w:jc w:val="both"/>
            </w:pPr>
            <w:r w:rsidRPr="003628E8">
              <w:t xml:space="preserve">2-3 Wilga Close, Casula </w:t>
            </w:r>
          </w:p>
          <w:p w14:paraId="175AE9FE" w14:textId="1F43F5C9" w:rsidR="00CF6020" w:rsidRPr="003628E8" w:rsidRDefault="002C1750" w:rsidP="00BB42FF">
            <w:pPr>
              <w:jc w:val="both"/>
            </w:pPr>
            <w:r w:rsidRPr="003628E8">
              <w:t>Lots 82 &amp; 83 DP 244786</w:t>
            </w:r>
          </w:p>
        </w:tc>
      </w:tr>
      <w:tr w:rsidR="00CF6020" w:rsidRPr="003628E8" w14:paraId="0CAF152E" w14:textId="77777777" w:rsidTr="00BB42FF">
        <w:tc>
          <w:tcPr>
            <w:tcW w:w="3539" w:type="dxa"/>
          </w:tcPr>
          <w:p w14:paraId="537C0231" w14:textId="77777777" w:rsidR="00CF6020" w:rsidRPr="003628E8" w:rsidRDefault="00CF6020" w:rsidP="00BB42FF">
            <w:pPr>
              <w:rPr>
                <w:b/>
                <w:bCs/>
              </w:rPr>
            </w:pPr>
            <w:r w:rsidRPr="003628E8">
              <w:rPr>
                <w:b/>
                <w:bCs/>
              </w:rPr>
              <w:t>Development Category:</w:t>
            </w:r>
          </w:p>
        </w:tc>
        <w:tc>
          <w:tcPr>
            <w:tcW w:w="5477" w:type="dxa"/>
          </w:tcPr>
          <w:p w14:paraId="576D06EA" w14:textId="682F9948" w:rsidR="00CF6020" w:rsidRPr="003628E8" w:rsidRDefault="00CF6020" w:rsidP="00BB42FF">
            <w:pPr>
              <w:jc w:val="both"/>
            </w:pPr>
            <w:r w:rsidRPr="003628E8">
              <w:t>Residential</w:t>
            </w:r>
          </w:p>
        </w:tc>
      </w:tr>
      <w:tr w:rsidR="00CF6020" w:rsidRPr="003628E8" w14:paraId="6641E5E7" w14:textId="77777777" w:rsidTr="00BB42FF">
        <w:tc>
          <w:tcPr>
            <w:tcW w:w="3539" w:type="dxa"/>
          </w:tcPr>
          <w:p w14:paraId="33CC34D8" w14:textId="77777777" w:rsidR="00CF6020" w:rsidRPr="003628E8" w:rsidRDefault="00CF6020" w:rsidP="00BB42FF">
            <w:pPr>
              <w:rPr>
                <w:b/>
                <w:bCs/>
              </w:rPr>
            </w:pPr>
            <w:r w:rsidRPr="003628E8">
              <w:rPr>
                <w:b/>
                <w:bCs/>
              </w:rPr>
              <w:t>Description:</w:t>
            </w:r>
          </w:p>
        </w:tc>
        <w:tc>
          <w:tcPr>
            <w:tcW w:w="5477" w:type="dxa"/>
          </w:tcPr>
          <w:p w14:paraId="3C13FF9C" w14:textId="2EE0B55F" w:rsidR="00CF6020" w:rsidRPr="003628E8" w:rsidRDefault="004E00B4" w:rsidP="00BB42FF">
            <w:pPr>
              <w:jc w:val="both"/>
            </w:pPr>
            <w:bookmarkStart w:id="0" w:name="_Hlk115883667"/>
            <w:r w:rsidRPr="003628E8">
              <w:rPr>
                <w:rFonts w:eastAsia="Arial"/>
              </w:rPr>
              <w:t>Demolition of existing structures and construction of a four-storey residential flat building comprising 16 flats, with one level of basement car parking, and associated landscaping.</w:t>
            </w:r>
            <w:bookmarkEnd w:id="0"/>
          </w:p>
        </w:tc>
      </w:tr>
      <w:tr w:rsidR="00CF6020" w:rsidRPr="003628E8" w14:paraId="72E0FDDE" w14:textId="77777777" w:rsidTr="00BB42FF">
        <w:tc>
          <w:tcPr>
            <w:tcW w:w="3539" w:type="dxa"/>
          </w:tcPr>
          <w:p w14:paraId="091DADC8" w14:textId="77777777" w:rsidR="00CF6020" w:rsidRPr="003628E8" w:rsidRDefault="00CF6020" w:rsidP="00BB42FF">
            <w:pPr>
              <w:rPr>
                <w:b/>
                <w:bCs/>
              </w:rPr>
            </w:pPr>
            <w:r w:rsidRPr="003628E8">
              <w:rPr>
                <w:b/>
                <w:bCs/>
              </w:rPr>
              <w:t>Environmental Planning Instrument:</w:t>
            </w:r>
          </w:p>
        </w:tc>
        <w:tc>
          <w:tcPr>
            <w:tcW w:w="5477" w:type="dxa"/>
          </w:tcPr>
          <w:p w14:paraId="52A0837C" w14:textId="77777777" w:rsidR="00CF6020" w:rsidRPr="003628E8" w:rsidRDefault="00CF6020" w:rsidP="00BB42FF">
            <w:pPr>
              <w:jc w:val="both"/>
            </w:pPr>
            <w:r w:rsidRPr="003628E8">
              <w:t>Liverpool LEP 2008</w:t>
            </w:r>
          </w:p>
        </w:tc>
      </w:tr>
      <w:tr w:rsidR="00CF6020" w:rsidRPr="003628E8" w14:paraId="7E620B34" w14:textId="77777777" w:rsidTr="00BB42FF">
        <w:tc>
          <w:tcPr>
            <w:tcW w:w="3539" w:type="dxa"/>
          </w:tcPr>
          <w:p w14:paraId="3C7814FA" w14:textId="77777777" w:rsidR="00CF6020" w:rsidRPr="003628E8" w:rsidRDefault="00CF6020" w:rsidP="00BB42FF">
            <w:pPr>
              <w:rPr>
                <w:b/>
                <w:bCs/>
              </w:rPr>
            </w:pPr>
            <w:r w:rsidRPr="003628E8">
              <w:rPr>
                <w:b/>
                <w:bCs/>
              </w:rPr>
              <w:t>Zoning of Land:</w:t>
            </w:r>
          </w:p>
        </w:tc>
        <w:tc>
          <w:tcPr>
            <w:tcW w:w="5477" w:type="dxa"/>
          </w:tcPr>
          <w:p w14:paraId="65C980E0" w14:textId="3AD39C9E" w:rsidR="00CF6020" w:rsidRPr="003628E8" w:rsidRDefault="00CF6020" w:rsidP="00BB42FF">
            <w:pPr>
              <w:jc w:val="both"/>
            </w:pPr>
            <w:r w:rsidRPr="003628E8">
              <w:t>R</w:t>
            </w:r>
            <w:r w:rsidR="004E00B4" w:rsidRPr="003628E8">
              <w:t>4</w:t>
            </w:r>
            <w:r w:rsidRPr="003628E8">
              <w:t xml:space="preserve"> – </w:t>
            </w:r>
            <w:r w:rsidR="004E00B4" w:rsidRPr="003628E8">
              <w:t>High Density</w:t>
            </w:r>
            <w:r w:rsidRPr="003628E8">
              <w:t xml:space="preserve"> Residential</w:t>
            </w:r>
          </w:p>
        </w:tc>
      </w:tr>
      <w:tr w:rsidR="00CF6020" w:rsidRPr="003628E8" w14:paraId="407B7220" w14:textId="77777777" w:rsidTr="00BB42FF">
        <w:tc>
          <w:tcPr>
            <w:tcW w:w="3539" w:type="dxa"/>
          </w:tcPr>
          <w:p w14:paraId="1254D76F" w14:textId="77777777" w:rsidR="00CF6020" w:rsidRPr="003628E8" w:rsidRDefault="00CF6020" w:rsidP="00BB42FF">
            <w:pPr>
              <w:rPr>
                <w:b/>
                <w:bCs/>
              </w:rPr>
            </w:pPr>
            <w:r w:rsidRPr="003628E8">
              <w:rPr>
                <w:b/>
                <w:bCs/>
              </w:rPr>
              <w:t>Development Standard Varied:</w:t>
            </w:r>
          </w:p>
        </w:tc>
        <w:tc>
          <w:tcPr>
            <w:tcW w:w="5477" w:type="dxa"/>
          </w:tcPr>
          <w:p w14:paraId="5BD97572" w14:textId="77777777" w:rsidR="00CF6020" w:rsidRPr="003628E8" w:rsidRDefault="00CF6020" w:rsidP="00BB42FF">
            <w:pPr>
              <w:jc w:val="both"/>
            </w:pPr>
            <w:r w:rsidRPr="003628E8">
              <w:t>Clause 4.3 – Height of Buildings</w:t>
            </w:r>
          </w:p>
        </w:tc>
      </w:tr>
      <w:tr w:rsidR="00CF6020" w:rsidRPr="003628E8" w14:paraId="19BC54D1" w14:textId="77777777" w:rsidTr="00BB42FF">
        <w:tc>
          <w:tcPr>
            <w:tcW w:w="3539" w:type="dxa"/>
          </w:tcPr>
          <w:p w14:paraId="5AD61C0D" w14:textId="77777777" w:rsidR="00CF6020" w:rsidRPr="003628E8" w:rsidRDefault="00CF6020" w:rsidP="00BB42FF">
            <w:pPr>
              <w:rPr>
                <w:b/>
                <w:bCs/>
              </w:rPr>
            </w:pPr>
            <w:r w:rsidRPr="003628E8">
              <w:rPr>
                <w:b/>
                <w:bCs/>
              </w:rPr>
              <w:t>Justification of Variation:</w:t>
            </w:r>
          </w:p>
        </w:tc>
        <w:tc>
          <w:tcPr>
            <w:tcW w:w="5477" w:type="dxa"/>
          </w:tcPr>
          <w:p w14:paraId="53774CDA" w14:textId="051853D3" w:rsidR="008E2C17" w:rsidRPr="003628E8" w:rsidRDefault="008E2C17" w:rsidP="008E2C17">
            <w:pPr>
              <w:jc w:val="both"/>
            </w:pPr>
            <w:r w:rsidRPr="003628E8">
              <w:t xml:space="preserve">The proposed variation to the maximum height of buildings development standard </w:t>
            </w:r>
            <w:proofErr w:type="gramStart"/>
            <w:r w:rsidRPr="003628E8">
              <w:t>is considered to be</w:t>
            </w:r>
            <w:proofErr w:type="gramEnd"/>
            <w:r w:rsidRPr="003628E8">
              <w:t xml:space="preserve"> acceptable in this instance as strict compliance is unlikely to reduce any impacts. The height variation does not negatively impact on the local area in terms of additional overshadowing or detrimental impact to the design of the building. Further, the additional height is not contributing to any detrimental increases in bulk and scale over the site including compliance with the floor space ratio provisions for the development. </w:t>
            </w:r>
            <w:r w:rsidR="00ED6895" w:rsidRPr="003628E8">
              <w:t>Additionally</w:t>
            </w:r>
            <w:r w:rsidRPr="003628E8">
              <w:t>, the height exceedance allows for a</w:t>
            </w:r>
            <w:r w:rsidR="003C3FF7">
              <w:t>n</w:t>
            </w:r>
            <w:r w:rsidRPr="003628E8">
              <w:t xml:space="preserve"> added amenity for the residents of the building by having a better communal open space area on the rooftop.</w:t>
            </w:r>
          </w:p>
          <w:p w14:paraId="22CC23F5" w14:textId="77777777" w:rsidR="008E2C17" w:rsidRPr="003628E8" w:rsidRDefault="008E2C17" w:rsidP="008E2C17">
            <w:pPr>
              <w:jc w:val="both"/>
            </w:pPr>
          </w:p>
          <w:p w14:paraId="0C8C42E7" w14:textId="77777777" w:rsidR="008E2C17" w:rsidRPr="003628E8" w:rsidRDefault="008E2C17" w:rsidP="008E2C17">
            <w:pPr>
              <w:jc w:val="both"/>
            </w:pPr>
            <w:r w:rsidRPr="003628E8">
              <w:t xml:space="preserve">The objectives of Clause 4.3 as well as the R4 High Density Residential zone would be upheld </w:t>
            </w:r>
            <w:proofErr w:type="gramStart"/>
            <w:r w:rsidRPr="003628E8">
              <w:t>as a result of</w:t>
            </w:r>
            <w:proofErr w:type="gramEnd"/>
            <w:r w:rsidRPr="003628E8">
              <w:t xml:space="preserve"> the proposed development.</w:t>
            </w:r>
          </w:p>
          <w:p w14:paraId="7BEF43AC" w14:textId="77777777" w:rsidR="008E2C17" w:rsidRPr="003628E8" w:rsidRDefault="008E2C17" w:rsidP="008E2C17">
            <w:pPr>
              <w:jc w:val="both"/>
            </w:pPr>
          </w:p>
          <w:p w14:paraId="65E19274" w14:textId="250420B0" w:rsidR="00CF6020" w:rsidRPr="003628E8" w:rsidRDefault="008E2C17" w:rsidP="008E2C17">
            <w:pPr>
              <w:jc w:val="both"/>
            </w:pPr>
            <w:r w:rsidRPr="003628E8">
              <w:t>The maximum height of buildings is to be 15m. The maximum height proposed as part of this DA is 15.6m to the lift overrun. This equates to a variation of 4% to the development standard.</w:t>
            </w:r>
          </w:p>
        </w:tc>
      </w:tr>
      <w:tr w:rsidR="00CF6020" w:rsidRPr="003628E8" w14:paraId="6C6DB9A6" w14:textId="77777777" w:rsidTr="00BB42FF">
        <w:tc>
          <w:tcPr>
            <w:tcW w:w="3539" w:type="dxa"/>
          </w:tcPr>
          <w:p w14:paraId="690EA63F" w14:textId="77777777" w:rsidR="00CF6020" w:rsidRPr="003628E8" w:rsidRDefault="00CF6020" w:rsidP="00BB42FF">
            <w:pPr>
              <w:rPr>
                <w:b/>
                <w:bCs/>
              </w:rPr>
            </w:pPr>
            <w:r w:rsidRPr="003628E8">
              <w:rPr>
                <w:b/>
                <w:bCs/>
              </w:rPr>
              <w:t>Extent of Variation:</w:t>
            </w:r>
          </w:p>
        </w:tc>
        <w:tc>
          <w:tcPr>
            <w:tcW w:w="5477" w:type="dxa"/>
          </w:tcPr>
          <w:p w14:paraId="720CB44C" w14:textId="1B10525A" w:rsidR="00CF6020" w:rsidRPr="003628E8" w:rsidRDefault="008E2C17" w:rsidP="00BB42FF">
            <w:pPr>
              <w:jc w:val="both"/>
            </w:pPr>
            <w:r w:rsidRPr="003628E8">
              <w:t>0.6m / 4%</w:t>
            </w:r>
          </w:p>
        </w:tc>
      </w:tr>
      <w:tr w:rsidR="00CF6020" w:rsidRPr="003628E8" w14:paraId="16151FFF" w14:textId="77777777" w:rsidTr="00BB42FF">
        <w:tc>
          <w:tcPr>
            <w:tcW w:w="3539" w:type="dxa"/>
          </w:tcPr>
          <w:p w14:paraId="487800D4" w14:textId="77777777" w:rsidR="00CF6020" w:rsidRPr="003628E8" w:rsidRDefault="00CF6020" w:rsidP="00BB42FF">
            <w:pPr>
              <w:rPr>
                <w:b/>
                <w:bCs/>
              </w:rPr>
            </w:pPr>
            <w:r w:rsidRPr="003628E8">
              <w:rPr>
                <w:b/>
                <w:bCs/>
              </w:rPr>
              <w:t>Concurring Authority:</w:t>
            </w:r>
          </w:p>
        </w:tc>
        <w:tc>
          <w:tcPr>
            <w:tcW w:w="5477" w:type="dxa"/>
          </w:tcPr>
          <w:p w14:paraId="3EC491AB" w14:textId="51910F4D" w:rsidR="00CF6020" w:rsidRPr="003628E8" w:rsidRDefault="00E85599" w:rsidP="00BB42FF">
            <w:pPr>
              <w:jc w:val="both"/>
            </w:pPr>
            <w:r>
              <w:t>Liverpool Local Planning Panel</w:t>
            </w:r>
            <w:r w:rsidRPr="003628E8">
              <w:t xml:space="preserve"> </w:t>
            </w:r>
            <w:r w:rsidR="00CF6020" w:rsidRPr="003628E8">
              <w:t>under assumed concurrence</w:t>
            </w:r>
          </w:p>
        </w:tc>
      </w:tr>
      <w:tr w:rsidR="00CF6020" w:rsidRPr="003628E8" w14:paraId="3D100B8C" w14:textId="77777777" w:rsidTr="00BB42FF">
        <w:tc>
          <w:tcPr>
            <w:tcW w:w="3539" w:type="dxa"/>
          </w:tcPr>
          <w:p w14:paraId="43792911" w14:textId="77777777" w:rsidR="00CF6020" w:rsidRPr="003628E8" w:rsidRDefault="00CF6020" w:rsidP="00BB42FF">
            <w:pPr>
              <w:rPr>
                <w:b/>
                <w:bCs/>
              </w:rPr>
            </w:pPr>
            <w:r w:rsidRPr="003628E8">
              <w:rPr>
                <w:b/>
                <w:bCs/>
              </w:rPr>
              <w:t>Date Determined:</w:t>
            </w:r>
          </w:p>
        </w:tc>
        <w:tc>
          <w:tcPr>
            <w:tcW w:w="5477" w:type="dxa"/>
          </w:tcPr>
          <w:p w14:paraId="1A294A31" w14:textId="4E062585" w:rsidR="00CF6020" w:rsidRPr="003628E8" w:rsidRDefault="003628E8" w:rsidP="00BB42FF">
            <w:pPr>
              <w:jc w:val="both"/>
            </w:pPr>
            <w:r w:rsidRPr="003628E8">
              <w:t>31 October</w:t>
            </w:r>
            <w:r w:rsidR="00CF6020" w:rsidRPr="003628E8">
              <w:t xml:space="preserve"> 2022</w:t>
            </w:r>
          </w:p>
        </w:tc>
      </w:tr>
    </w:tbl>
    <w:p w14:paraId="2B97DA38" w14:textId="77777777" w:rsidR="00CF6020" w:rsidRPr="003628E8" w:rsidRDefault="00CF6020" w:rsidP="00CF6020">
      <w:pPr>
        <w:spacing w:after="0" w:line="240" w:lineRule="auto"/>
      </w:pPr>
    </w:p>
    <w:p w14:paraId="7B9B6072" w14:textId="77777777" w:rsidR="00CF6020" w:rsidRPr="003628E8" w:rsidRDefault="00CF6020" w:rsidP="00CF6020">
      <w:pPr>
        <w:spacing w:after="0" w:line="240" w:lineRule="auto"/>
      </w:pPr>
    </w:p>
    <w:p w14:paraId="12CFE7E8" w14:textId="77777777" w:rsidR="00CF6020" w:rsidRPr="003628E8" w:rsidRDefault="00CF6020" w:rsidP="00CF6020">
      <w:pPr>
        <w:spacing w:after="0" w:line="240" w:lineRule="auto"/>
      </w:pPr>
    </w:p>
    <w:p w14:paraId="4D0077BD" w14:textId="77777777" w:rsidR="00CF6020" w:rsidRPr="003628E8" w:rsidRDefault="00CF6020" w:rsidP="00CF6020">
      <w:pPr>
        <w:spacing w:after="0" w:line="240" w:lineRule="auto"/>
      </w:pPr>
    </w:p>
    <w:p w14:paraId="25FE59F0" w14:textId="4E93F3E2" w:rsidR="00CF6020" w:rsidRPr="003628E8" w:rsidRDefault="00CF6020" w:rsidP="00CF6020">
      <w:pPr>
        <w:spacing w:after="0" w:line="240" w:lineRule="auto"/>
      </w:pPr>
    </w:p>
    <w:p w14:paraId="1CFFFBA5" w14:textId="2365BAEA" w:rsidR="004E00B4" w:rsidRPr="003628E8" w:rsidRDefault="004E00B4" w:rsidP="00CF6020">
      <w:pPr>
        <w:spacing w:after="0" w:line="240" w:lineRule="auto"/>
      </w:pPr>
    </w:p>
    <w:p w14:paraId="10C071E9" w14:textId="41DEB563" w:rsidR="004E00B4" w:rsidRPr="003628E8" w:rsidRDefault="004E00B4" w:rsidP="00CF6020">
      <w:pPr>
        <w:spacing w:after="0" w:line="240" w:lineRule="auto"/>
      </w:pPr>
    </w:p>
    <w:p w14:paraId="17E16438" w14:textId="035F81DE" w:rsidR="004E00B4" w:rsidRPr="003628E8" w:rsidRDefault="004E00B4" w:rsidP="00CF6020">
      <w:pPr>
        <w:spacing w:after="0" w:line="240" w:lineRule="auto"/>
      </w:pPr>
    </w:p>
    <w:p w14:paraId="0205DB92" w14:textId="35C5332D" w:rsidR="00ED6895" w:rsidRPr="003628E8" w:rsidRDefault="00ED6895" w:rsidP="00CF6020">
      <w:pPr>
        <w:spacing w:after="0" w:line="240" w:lineRule="auto"/>
      </w:pPr>
    </w:p>
    <w:p w14:paraId="69491599" w14:textId="33CE6DAB" w:rsidR="00ED6895" w:rsidRPr="003628E8" w:rsidRDefault="00ED6895" w:rsidP="00CF6020">
      <w:pPr>
        <w:spacing w:after="0" w:line="240" w:lineRule="auto"/>
      </w:pPr>
    </w:p>
    <w:p w14:paraId="1151FFDB" w14:textId="11D13A05" w:rsidR="00ED6895" w:rsidRPr="003628E8" w:rsidRDefault="00ED6895" w:rsidP="00CF6020">
      <w:pPr>
        <w:spacing w:after="0" w:line="240" w:lineRule="auto"/>
      </w:pPr>
    </w:p>
    <w:p w14:paraId="22AB93E8" w14:textId="2B55E6B3" w:rsidR="00ED6895" w:rsidRPr="003628E8" w:rsidRDefault="00ED6895" w:rsidP="00CF6020">
      <w:pPr>
        <w:spacing w:after="0" w:line="240" w:lineRule="auto"/>
      </w:pPr>
    </w:p>
    <w:p w14:paraId="19803C71" w14:textId="77777777" w:rsidR="00ED6895" w:rsidRPr="003628E8" w:rsidRDefault="00ED6895" w:rsidP="00CF6020">
      <w:pPr>
        <w:spacing w:after="0" w:line="240" w:lineRule="auto"/>
      </w:pPr>
    </w:p>
    <w:p w14:paraId="579AB6FC" w14:textId="77777777" w:rsidR="004E00B4" w:rsidRPr="003628E8" w:rsidRDefault="004E00B4" w:rsidP="00CF6020">
      <w:pPr>
        <w:spacing w:after="0" w:line="240" w:lineRule="auto"/>
      </w:pPr>
    </w:p>
    <w:p w14:paraId="29CD2295" w14:textId="77777777" w:rsidR="00CF6020" w:rsidRPr="003628E8" w:rsidRDefault="00CF6020" w:rsidP="00CF6020">
      <w:pPr>
        <w:spacing w:after="0" w:line="240" w:lineRule="auto"/>
      </w:pPr>
      <w:r w:rsidRPr="003628E8">
        <w:t xml:space="preserve"> </w:t>
      </w:r>
    </w:p>
    <w:p w14:paraId="3DB4722A" w14:textId="00E9D6A2" w:rsidR="00CF6020" w:rsidRPr="003628E8" w:rsidRDefault="00CF6020" w:rsidP="00CF6020">
      <w:pPr>
        <w:spacing w:after="0" w:line="240" w:lineRule="auto"/>
        <w:rPr>
          <w:b/>
          <w:bCs/>
        </w:rPr>
      </w:pPr>
      <w:r w:rsidRPr="003628E8">
        <w:rPr>
          <w:b/>
          <w:bCs/>
        </w:rPr>
        <w:t>ITEM 2 –</w:t>
      </w:r>
      <w:r w:rsidR="00FF2440" w:rsidRPr="003628E8">
        <w:rPr>
          <w:b/>
          <w:bCs/>
        </w:rPr>
        <w:t xml:space="preserve"> DA-1305/2021 – 2-3 Wilga Close, Casula</w:t>
      </w:r>
    </w:p>
    <w:p w14:paraId="4E8C8C66" w14:textId="77777777" w:rsidR="00CF6020" w:rsidRPr="003628E8" w:rsidRDefault="00CF6020" w:rsidP="00CF6020">
      <w:pPr>
        <w:spacing w:after="0" w:line="240" w:lineRule="auto"/>
        <w:rPr>
          <w:b/>
          <w:bCs/>
        </w:rPr>
      </w:pPr>
    </w:p>
    <w:tbl>
      <w:tblPr>
        <w:tblStyle w:val="TableGrid"/>
        <w:tblW w:w="0" w:type="auto"/>
        <w:tblLook w:val="04A0" w:firstRow="1" w:lastRow="0" w:firstColumn="1" w:lastColumn="0" w:noHBand="0" w:noVBand="1"/>
      </w:tblPr>
      <w:tblGrid>
        <w:gridCol w:w="3539"/>
        <w:gridCol w:w="5477"/>
      </w:tblGrid>
      <w:tr w:rsidR="004E00B4" w:rsidRPr="003628E8" w14:paraId="559747CA" w14:textId="77777777" w:rsidTr="00BB42FF">
        <w:tc>
          <w:tcPr>
            <w:tcW w:w="3539" w:type="dxa"/>
          </w:tcPr>
          <w:p w14:paraId="00F3086A" w14:textId="77777777" w:rsidR="004E00B4" w:rsidRPr="003628E8" w:rsidRDefault="004E00B4" w:rsidP="004E00B4">
            <w:pPr>
              <w:rPr>
                <w:b/>
                <w:bCs/>
              </w:rPr>
            </w:pPr>
            <w:r w:rsidRPr="003628E8">
              <w:rPr>
                <w:b/>
                <w:bCs/>
              </w:rPr>
              <w:t>DA Number:</w:t>
            </w:r>
          </w:p>
        </w:tc>
        <w:tc>
          <w:tcPr>
            <w:tcW w:w="5477" w:type="dxa"/>
          </w:tcPr>
          <w:p w14:paraId="06967871" w14:textId="4843372A" w:rsidR="004E00B4" w:rsidRPr="003628E8" w:rsidRDefault="004E00B4" w:rsidP="004E00B4">
            <w:pPr>
              <w:jc w:val="both"/>
              <w:rPr>
                <w:b/>
                <w:bCs/>
              </w:rPr>
            </w:pPr>
            <w:r w:rsidRPr="003628E8">
              <w:t>DA-1305/2021</w:t>
            </w:r>
          </w:p>
        </w:tc>
      </w:tr>
      <w:tr w:rsidR="004E00B4" w:rsidRPr="003628E8" w14:paraId="1F6FA36E" w14:textId="77777777" w:rsidTr="00BB42FF">
        <w:tc>
          <w:tcPr>
            <w:tcW w:w="3539" w:type="dxa"/>
          </w:tcPr>
          <w:p w14:paraId="27A9F353" w14:textId="77777777" w:rsidR="004E00B4" w:rsidRPr="003628E8" w:rsidRDefault="004E00B4" w:rsidP="004E00B4">
            <w:pPr>
              <w:rPr>
                <w:b/>
                <w:bCs/>
              </w:rPr>
            </w:pPr>
            <w:r w:rsidRPr="003628E8">
              <w:rPr>
                <w:b/>
                <w:bCs/>
              </w:rPr>
              <w:t>Property Address:</w:t>
            </w:r>
          </w:p>
        </w:tc>
        <w:tc>
          <w:tcPr>
            <w:tcW w:w="5477" w:type="dxa"/>
          </w:tcPr>
          <w:p w14:paraId="2BCD88CF" w14:textId="77777777" w:rsidR="004E00B4" w:rsidRPr="003628E8" w:rsidRDefault="004E00B4" w:rsidP="004E00B4">
            <w:pPr>
              <w:jc w:val="both"/>
            </w:pPr>
            <w:r w:rsidRPr="003628E8">
              <w:t xml:space="preserve">2-3 Wilga Close, Casula </w:t>
            </w:r>
          </w:p>
          <w:p w14:paraId="193849B0" w14:textId="070645D8" w:rsidR="004E00B4" w:rsidRPr="003628E8" w:rsidRDefault="004E00B4" w:rsidP="004E00B4">
            <w:pPr>
              <w:jc w:val="both"/>
            </w:pPr>
            <w:r w:rsidRPr="003628E8">
              <w:t>Lots 82 &amp; 83 DP 244786</w:t>
            </w:r>
          </w:p>
        </w:tc>
      </w:tr>
      <w:tr w:rsidR="004E00B4" w:rsidRPr="003628E8" w14:paraId="1E9E137B" w14:textId="77777777" w:rsidTr="00BB42FF">
        <w:tc>
          <w:tcPr>
            <w:tcW w:w="3539" w:type="dxa"/>
          </w:tcPr>
          <w:p w14:paraId="18DD792C" w14:textId="77777777" w:rsidR="004E00B4" w:rsidRPr="003628E8" w:rsidRDefault="004E00B4" w:rsidP="004E00B4">
            <w:pPr>
              <w:rPr>
                <w:b/>
                <w:bCs/>
              </w:rPr>
            </w:pPr>
            <w:r w:rsidRPr="003628E8">
              <w:rPr>
                <w:b/>
                <w:bCs/>
              </w:rPr>
              <w:t>Development Category:</w:t>
            </w:r>
          </w:p>
        </w:tc>
        <w:tc>
          <w:tcPr>
            <w:tcW w:w="5477" w:type="dxa"/>
          </w:tcPr>
          <w:p w14:paraId="037E4808" w14:textId="4A441779" w:rsidR="004E00B4" w:rsidRPr="003628E8" w:rsidRDefault="004E00B4" w:rsidP="004E00B4">
            <w:pPr>
              <w:jc w:val="both"/>
            </w:pPr>
            <w:r w:rsidRPr="003628E8">
              <w:t>Residential</w:t>
            </w:r>
          </w:p>
        </w:tc>
      </w:tr>
      <w:tr w:rsidR="004E00B4" w:rsidRPr="003628E8" w14:paraId="3D8B614E" w14:textId="77777777" w:rsidTr="00BB42FF">
        <w:tc>
          <w:tcPr>
            <w:tcW w:w="3539" w:type="dxa"/>
          </w:tcPr>
          <w:p w14:paraId="315E0E7B" w14:textId="77777777" w:rsidR="004E00B4" w:rsidRPr="003628E8" w:rsidRDefault="004E00B4" w:rsidP="004E00B4">
            <w:pPr>
              <w:rPr>
                <w:b/>
                <w:bCs/>
              </w:rPr>
            </w:pPr>
            <w:r w:rsidRPr="003628E8">
              <w:rPr>
                <w:b/>
                <w:bCs/>
              </w:rPr>
              <w:t>Description:</w:t>
            </w:r>
          </w:p>
        </w:tc>
        <w:tc>
          <w:tcPr>
            <w:tcW w:w="5477" w:type="dxa"/>
          </w:tcPr>
          <w:p w14:paraId="005E5263" w14:textId="4F3BDDF5" w:rsidR="004E00B4" w:rsidRPr="003628E8" w:rsidRDefault="004E00B4" w:rsidP="004E00B4">
            <w:pPr>
              <w:jc w:val="both"/>
            </w:pPr>
            <w:r w:rsidRPr="003628E8">
              <w:rPr>
                <w:rFonts w:eastAsia="Arial"/>
              </w:rPr>
              <w:t>Demolition of existing structures and construction of a four-storey residential flat building comprising 16 flats, with one level of basement car parking, and associated landscaping.</w:t>
            </w:r>
          </w:p>
        </w:tc>
      </w:tr>
      <w:tr w:rsidR="004E00B4" w:rsidRPr="003628E8" w14:paraId="2B50F33A" w14:textId="77777777" w:rsidTr="00BB42FF">
        <w:tc>
          <w:tcPr>
            <w:tcW w:w="3539" w:type="dxa"/>
          </w:tcPr>
          <w:p w14:paraId="2720AFCD" w14:textId="77777777" w:rsidR="004E00B4" w:rsidRPr="003628E8" w:rsidRDefault="004E00B4" w:rsidP="004E00B4">
            <w:pPr>
              <w:rPr>
                <w:b/>
                <w:bCs/>
              </w:rPr>
            </w:pPr>
            <w:r w:rsidRPr="003628E8">
              <w:rPr>
                <w:b/>
                <w:bCs/>
              </w:rPr>
              <w:t>Environmental Planning Instrument:</w:t>
            </w:r>
          </w:p>
        </w:tc>
        <w:tc>
          <w:tcPr>
            <w:tcW w:w="5477" w:type="dxa"/>
          </w:tcPr>
          <w:p w14:paraId="5987017D" w14:textId="240E15C1" w:rsidR="004E00B4" w:rsidRPr="003628E8" w:rsidRDefault="004E00B4" w:rsidP="004E00B4">
            <w:pPr>
              <w:jc w:val="both"/>
            </w:pPr>
            <w:r w:rsidRPr="003628E8">
              <w:t>Liverpool LEP 2008</w:t>
            </w:r>
          </w:p>
        </w:tc>
      </w:tr>
      <w:tr w:rsidR="004E00B4" w:rsidRPr="003628E8" w14:paraId="41A4097C" w14:textId="77777777" w:rsidTr="00BB42FF">
        <w:tc>
          <w:tcPr>
            <w:tcW w:w="3539" w:type="dxa"/>
          </w:tcPr>
          <w:p w14:paraId="5B8FB13D" w14:textId="77777777" w:rsidR="004E00B4" w:rsidRPr="003628E8" w:rsidRDefault="004E00B4" w:rsidP="004E00B4">
            <w:pPr>
              <w:rPr>
                <w:b/>
                <w:bCs/>
              </w:rPr>
            </w:pPr>
            <w:r w:rsidRPr="003628E8">
              <w:rPr>
                <w:b/>
                <w:bCs/>
              </w:rPr>
              <w:t>Zoning of Land:</w:t>
            </w:r>
          </w:p>
        </w:tc>
        <w:tc>
          <w:tcPr>
            <w:tcW w:w="5477" w:type="dxa"/>
          </w:tcPr>
          <w:p w14:paraId="328F61B4" w14:textId="079984F4" w:rsidR="004E00B4" w:rsidRPr="003628E8" w:rsidRDefault="004E00B4" w:rsidP="004E00B4">
            <w:pPr>
              <w:jc w:val="both"/>
            </w:pPr>
            <w:r w:rsidRPr="003628E8">
              <w:t>R4 – High Density Residential</w:t>
            </w:r>
          </w:p>
        </w:tc>
      </w:tr>
      <w:tr w:rsidR="00CF6020" w:rsidRPr="003628E8" w14:paraId="46DC7281" w14:textId="77777777" w:rsidTr="00BB42FF">
        <w:tc>
          <w:tcPr>
            <w:tcW w:w="3539" w:type="dxa"/>
          </w:tcPr>
          <w:p w14:paraId="4D0CC4BF" w14:textId="77777777" w:rsidR="00CF6020" w:rsidRPr="003628E8" w:rsidRDefault="00CF6020" w:rsidP="00BB42FF">
            <w:pPr>
              <w:rPr>
                <w:b/>
                <w:bCs/>
              </w:rPr>
            </w:pPr>
            <w:r w:rsidRPr="003628E8">
              <w:rPr>
                <w:b/>
                <w:bCs/>
              </w:rPr>
              <w:t>Development Standard Varied:</w:t>
            </w:r>
          </w:p>
        </w:tc>
        <w:tc>
          <w:tcPr>
            <w:tcW w:w="5477" w:type="dxa"/>
          </w:tcPr>
          <w:p w14:paraId="7DE4A009" w14:textId="773690D7" w:rsidR="00CF6020" w:rsidRPr="003628E8" w:rsidRDefault="00CF6020" w:rsidP="00BB42FF">
            <w:pPr>
              <w:jc w:val="both"/>
            </w:pPr>
            <w:r w:rsidRPr="003628E8">
              <w:t xml:space="preserve">Clause </w:t>
            </w:r>
            <w:r w:rsidR="00ED6895" w:rsidRPr="003628E8">
              <w:t>7.14 - Minimum Building Street Frontage</w:t>
            </w:r>
          </w:p>
        </w:tc>
      </w:tr>
      <w:tr w:rsidR="00CF6020" w:rsidRPr="003628E8" w14:paraId="027A29CC" w14:textId="77777777" w:rsidTr="00BB42FF">
        <w:tc>
          <w:tcPr>
            <w:tcW w:w="3539" w:type="dxa"/>
          </w:tcPr>
          <w:p w14:paraId="122194CF" w14:textId="77777777" w:rsidR="00CF6020" w:rsidRPr="003628E8" w:rsidRDefault="00CF6020" w:rsidP="00BB42FF">
            <w:pPr>
              <w:rPr>
                <w:b/>
                <w:bCs/>
              </w:rPr>
            </w:pPr>
            <w:r w:rsidRPr="003628E8">
              <w:rPr>
                <w:b/>
                <w:bCs/>
              </w:rPr>
              <w:t>Justification of Variation:</w:t>
            </w:r>
          </w:p>
        </w:tc>
        <w:tc>
          <w:tcPr>
            <w:tcW w:w="5477" w:type="dxa"/>
          </w:tcPr>
          <w:p w14:paraId="09DFF588" w14:textId="24FFAA19" w:rsidR="00F66A70" w:rsidRPr="003628E8" w:rsidRDefault="00F66A70" w:rsidP="00F66A70">
            <w:pPr>
              <w:jc w:val="both"/>
            </w:pPr>
            <w:r w:rsidRPr="003628E8">
              <w:t xml:space="preserve">The proposed variation to the minimum Building Street Frontage development standard </w:t>
            </w:r>
            <w:proofErr w:type="gramStart"/>
            <w:r w:rsidRPr="003628E8">
              <w:t>is considered to be</w:t>
            </w:r>
            <w:proofErr w:type="gramEnd"/>
            <w:r w:rsidRPr="003628E8">
              <w:t xml:space="preserve"> acceptable in this instance as strict compliance is unlikely to reduce any impacts. Given the unique shape of the site and the extent of the non-compliance within the front of the site, the site width where the building line is </w:t>
            </w:r>
            <w:proofErr w:type="gramStart"/>
            <w:r w:rsidRPr="003628E8">
              <w:t>in excess of</w:t>
            </w:r>
            <w:proofErr w:type="gramEnd"/>
            <w:r w:rsidRPr="003628E8">
              <w:t xml:space="preserve"> 24m</w:t>
            </w:r>
            <w:r w:rsidR="003879BD">
              <w:t>,</w:t>
            </w:r>
            <w:r w:rsidRPr="003628E8">
              <w:t xml:space="preserve"> is 32.3m. The frontage width does not impact on the ability for the proposed development to provide a high quality of residential amenity to the future occupants of the building. The development application is still able to provide a building which portrays design </w:t>
            </w:r>
            <w:proofErr w:type="gramStart"/>
            <w:r w:rsidRPr="003628E8">
              <w:t>excellence</w:t>
            </w:r>
            <w:proofErr w:type="gramEnd"/>
            <w:r w:rsidRPr="003628E8">
              <w:t xml:space="preserve"> and the reduced frontage perimeter does not impact on the built form that can be produced.</w:t>
            </w:r>
          </w:p>
          <w:p w14:paraId="6FDB276A" w14:textId="77777777" w:rsidR="00F66A70" w:rsidRPr="003628E8" w:rsidRDefault="00F66A70" w:rsidP="00F66A70">
            <w:pPr>
              <w:jc w:val="both"/>
            </w:pPr>
          </w:p>
          <w:p w14:paraId="4583F283" w14:textId="77777777" w:rsidR="00F66A70" w:rsidRPr="003628E8" w:rsidRDefault="00F66A70" w:rsidP="00F66A70">
            <w:pPr>
              <w:jc w:val="both"/>
            </w:pPr>
            <w:r w:rsidRPr="003628E8">
              <w:t xml:space="preserve">The objectives of Clause 7.14 as well as the R4 High Density Residential zone would be upheld </w:t>
            </w:r>
            <w:proofErr w:type="gramStart"/>
            <w:r w:rsidRPr="003628E8">
              <w:t>as a result of</w:t>
            </w:r>
            <w:proofErr w:type="gramEnd"/>
            <w:r w:rsidRPr="003628E8">
              <w:t xml:space="preserve"> the proposed development.</w:t>
            </w:r>
          </w:p>
          <w:p w14:paraId="71FB5FBB" w14:textId="77777777" w:rsidR="00F66A70" w:rsidRPr="003628E8" w:rsidRDefault="00F66A70" w:rsidP="00F66A70">
            <w:pPr>
              <w:jc w:val="both"/>
            </w:pPr>
          </w:p>
          <w:p w14:paraId="1C2CEC83" w14:textId="53948876" w:rsidR="00CF6020" w:rsidRPr="003628E8" w:rsidRDefault="00F66A70" w:rsidP="00F66A70">
            <w:pPr>
              <w:jc w:val="both"/>
            </w:pPr>
            <w:r w:rsidRPr="003628E8">
              <w:t>The minimum Building Street Frontage is to be 24m. The minimum building street frontage proposed as part of this DA is 21.865m at the front boundary. This equates to a variation of 8.9% to the development standard.</w:t>
            </w:r>
          </w:p>
        </w:tc>
      </w:tr>
      <w:tr w:rsidR="00CF6020" w:rsidRPr="003628E8" w14:paraId="5D4752D9" w14:textId="77777777" w:rsidTr="00BB42FF">
        <w:tc>
          <w:tcPr>
            <w:tcW w:w="3539" w:type="dxa"/>
          </w:tcPr>
          <w:p w14:paraId="23A2202C" w14:textId="77777777" w:rsidR="00CF6020" w:rsidRPr="003628E8" w:rsidRDefault="00CF6020" w:rsidP="00BB42FF">
            <w:pPr>
              <w:rPr>
                <w:b/>
                <w:bCs/>
              </w:rPr>
            </w:pPr>
            <w:r w:rsidRPr="003628E8">
              <w:rPr>
                <w:b/>
                <w:bCs/>
              </w:rPr>
              <w:t>Extent of Variation:</w:t>
            </w:r>
          </w:p>
        </w:tc>
        <w:tc>
          <w:tcPr>
            <w:tcW w:w="5477" w:type="dxa"/>
          </w:tcPr>
          <w:p w14:paraId="1DB90025" w14:textId="785CE48D" w:rsidR="00CF6020" w:rsidRPr="003628E8" w:rsidRDefault="00F66A70" w:rsidP="00BB42FF">
            <w:pPr>
              <w:jc w:val="both"/>
            </w:pPr>
            <w:r w:rsidRPr="003628E8">
              <w:t>2.135m / 8.9%</w:t>
            </w:r>
          </w:p>
        </w:tc>
      </w:tr>
      <w:tr w:rsidR="00CF6020" w:rsidRPr="003628E8" w14:paraId="1EB56421" w14:textId="77777777" w:rsidTr="00BB42FF">
        <w:tc>
          <w:tcPr>
            <w:tcW w:w="3539" w:type="dxa"/>
          </w:tcPr>
          <w:p w14:paraId="14422CA5" w14:textId="77777777" w:rsidR="00CF6020" w:rsidRPr="003628E8" w:rsidRDefault="00CF6020" w:rsidP="00BB42FF">
            <w:pPr>
              <w:rPr>
                <w:b/>
                <w:bCs/>
              </w:rPr>
            </w:pPr>
            <w:r w:rsidRPr="003628E8">
              <w:rPr>
                <w:b/>
                <w:bCs/>
              </w:rPr>
              <w:t>Concurring Authority:</w:t>
            </w:r>
          </w:p>
        </w:tc>
        <w:tc>
          <w:tcPr>
            <w:tcW w:w="5477" w:type="dxa"/>
          </w:tcPr>
          <w:p w14:paraId="49B7794D" w14:textId="7F2D4FD4" w:rsidR="00CF6020" w:rsidRPr="003628E8" w:rsidRDefault="00CC0F3F" w:rsidP="00BB42FF">
            <w:pPr>
              <w:jc w:val="both"/>
            </w:pPr>
            <w:r>
              <w:t>Liverpool Local Planning Panel</w:t>
            </w:r>
            <w:r w:rsidR="00F66A70" w:rsidRPr="003628E8">
              <w:t xml:space="preserve"> under assumed concurrence</w:t>
            </w:r>
          </w:p>
        </w:tc>
      </w:tr>
      <w:tr w:rsidR="00CF6020" w14:paraId="028DC649" w14:textId="77777777" w:rsidTr="00BB42FF">
        <w:tc>
          <w:tcPr>
            <w:tcW w:w="3539" w:type="dxa"/>
          </w:tcPr>
          <w:p w14:paraId="2FCF01B5" w14:textId="77777777" w:rsidR="00CF6020" w:rsidRPr="003628E8" w:rsidRDefault="00CF6020" w:rsidP="00BB42FF">
            <w:pPr>
              <w:rPr>
                <w:b/>
                <w:bCs/>
              </w:rPr>
            </w:pPr>
            <w:r w:rsidRPr="003628E8">
              <w:rPr>
                <w:b/>
                <w:bCs/>
              </w:rPr>
              <w:t>Date Determined:</w:t>
            </w:r>
          </w:p>
        </w:tc>
        <w:tc>
          <w:tcPr>
            <w:tcW w:w="5477" w:type="dxa"/>
          </w:tcPr>
          <w:p w14:paraId="33814DAD" w14:textId="25F8DF14" w:rsidR="00CF6020" w:rsidRPr="0025524D" w:rsidRDefault="003628E8" w:rsidP="00BB42FF">
            <w:pPr>
              <w:jc w:val="both"/>
            </w:pPr>
            <w:r w:rsidRPr="003628E8">
              <w:t>31 October</w:t>
            </w:r>
            <w:r w:rsidR="00CF6020" w:rsidRPr="003628E8">
              <w:t xml:space="preserve"> 2022</w:t>
            </w:r>
          </w:p>
        </w:tc>
      </w:tr>
    </w:tbl>
    <w:p w14:paraId="13FC893B" w14:textId="77777777" w:rsidR="00CF6020" w:rsidRDefault="00CF6020" w:rsidP="00CF6020"/>
    <w:p w14:paraId="21C8B575" w14:textId="035060DF" w:rsidR="00202596" w:rsidRDefault="00202596" w:rsidP="00CF6020"/>
    <w:p w14:paraId="3DA0EC81" w14:textId="619DF21F" w:rsidR="00FF2440" w:rsidRDefault="00FF2440" w:rsidP="00CF6020"/>
    <w:p w14:paraId="035E7744" w14:textId="5A1223AC" w:rsidR="00FF2440" w:rsidRDefault="00FF2440" w:rsidP="00CF6020"/>
    <w:p w14:paraId="04EF71A1" w14:textId="5792CC25" w:rsidR="00FF2440" w:rsidRDefault="00FF2440" w:rsidP="00CF6020"/>
    <w:p w14:paraId="35AE8507" w14:textId="0332325E" w:rsidR="003628E8" w:rsidRDefault="003628E8" w:rsidP="00CF6020"/>
    <w:p w14:paraId="37C2E4F0" w14:textId="4AD5AC26" w:rsidR="003628E8" w:rsidRDefault="003628E8" w:rsidP="00CF6020"/>
    <w:p w14:paraId="0239F9F0" w14:textId="77777777" w:rsidR="003628E8" w:rsidRDefault="003628E8" w:rsidP="00CF6020"/>
    <w:p w14:paraId="4E1DBF64" w14:textId="712C3CF3" w:rsidR="00FF2440" w:rsidRPr="007B2329" w:rsidRDefault="00FF2440" w:rsidP="00FF2440">
      <w:pPr>
        <w:spacing w:after="0" w:line="240" w:lineRule="auto"/>
        <w:rPr>
          <w:b/>
          <w:bCs/>
        </w:rPr>
      </w:pPr>
      <w:r w:rsidRPr="007B2329">
        <w:rPr>
          <w:b/>
          <w:bCs/>
        </w:rPr>
        <w:t>ITEM 3 – DA-</w:t>
      </w:r>
      <w:r w:rsidR="008D48D0" w:rsidRPr="007B2329">
        <w:rPr>
          <w:b/>
          <w:bCs/>
        </w:rPr>
        <w:t>973</w:t>
      </w:r>
      <w:r w:rsidRPr="007B2329">
        <w:rPr>
          <w:b/>
          <w:bCs/>
        </w:rPr>
        <w:t>/202</w:t>
      </w:r>
      <w:r w:rsidR="008D48D0" w:rsidRPr="007B2329">
        <w:rPr>
          <w:b/>
          <w:bCs/>
        </w:rPr>
        <w:t>2</w:t>
      </w:r>
      <w:r w:rsidRPr="007B2329">
        <w:rPr>
          <w:b/>
          <w:bCs/>
        </w:rPr>
        <w:t xml:space="preserve"> – </w:t>
      </w:r>
      <w:r w:rsidR="008D48D0" w:rsidRPr="007B2329">
        <w:rPr>
          <w:b/>
          <w:bCs/>
        </w:rPr>
        <w:t>87-9</w:t>
      </w:r>
      <w:r w:rsidR="006301C0" w:rsidRPr="007B2329">
        <w:rPr>
          <w:b/>
          <w:bCs/>
        </w:rPr>
        <w:t>3</w:t>
      </w:r>
      <w:r w:rsidR="008D48D0" w:rsidRPr="007B2329">
        <w:rPr>
          <w:b/>
          <w:bCs/>
        </w:rPr>
        <w:t xml:space="preserve"> Box Road</w:t>
      </w:r>
      <w:r w:rsidRPr="007B2329">
        <w:rPr>
          <w:b/>
          <w:bCs/>
        </w:rPr>
        <w:t>, Casula</w:t>
      </w:r>
    </w:p>
    <w:p w14:paraId="3B4688AF" w14:textId="77777777" w:rsidR="003628E8" w:rsidRPr="007B2329" w:rsidRDefault="003628E8" w:rsidP="00FF2440">
      <w:pPr>
        <w:spacing w:after="0" w:line="240" w:lineRule="auto"/>
        <w:rPr>
          <w:b/>
          <w:bCs/>
        </w:rPr>
      </w:pPr>
    </w:p>
    <w:tbl>
      <w:tblPr>
        <w:tblStyle w:val="TableGrid"/>
        <w:tblW w:w="0" w:type="auto"/>
        <w:tblLook w:val="04A0" w:firstRow="1" w:lastRow="0" w:firstColumn="1" w:lastColumn="0" w:noHBand="0" w:noVBand="1"/>
      </w:tblPr>
      <w:tblGrid>
        <w:gridCol w:w="3539"/>
        <w:gridCol w:w="5477"/>
      </w:tblGrid>
      <w:tr w:rsidR="003628E8" w:rsidRPr="007B2329" w14:paraId="0F98CE84" w14:textId="77777777" w:rsidTr="00BB42FF">
        <w:tc>
          <w:tcPr>
            <w:tcW w:w="3539" w:type="dxa"/>
          </w:tcPr>
          <w:p w14:paraId="16441DD7" w14:textId="77777777" w:rsidR="003628E8" w:rsidRPr="007B2329" w:rsidRDefault="003628E8" w:rsidP="00BB42FF">
            <w:pPr>
              <w:rPr>
                <w:b/>
                <w:bCs/>
              </w:rPr>
            </w:pPr>
            <w:r w:rsidRPr="007B2329">
              <w:rPr>
                <w:b/>
                <w:bCs/>
              </w:rPr>
              <w:t>DA Number:</w:t>
            </w:r>
          </w:p>
        </w:tc>
        <w:tc>
          <w:tcPr>
            <w:tcW w:w="5477" w:type="dxa"/>
          </w:tcPr>
          <w:p w14:paraId="4E398464" w14:textId="3D6B5260" w:rsidR="003628E8" w:rsidRPr="007B2329" w:rsidRDefault="003628E8" w:rsidP="00BB42FF">
            <w:pPr>
              <w:jc w:val="both"/>
              <w:rPr>
                <w:b/>
                <w:bCs/>
              </w:rPr>
            </w:pPr>
            <w:r w:rsidRPr="007B2329">
              <w:t>DA-</w:t>
            </w:r>
            <w:r w:rsidR="009D01EB" w:rsidRPr="007B2329">
              <w:t>973/2022</w:t>
            </w:r>
          </w:p>
        </w:tc>
      </w:tr>
      <w:tr w:rsidR="003628E8" w:rsidRPr="003628E8" w14:paraId="38BC5414" w14:textId="77777777" w:rsidTr="00BB42FF">
        <w:tc>
          <w:tcPr>
            <w:tcW w:w="3539" w:type="dxa"/>
          </w:tcPr>
          <w:p w14:paraId="74375DCA" w14:textId="77777777" w:rsidR="003628E8" w:rsidRPr="007B2329" w:rsidRDefault="003628E8" w:rsidP="00BB42FF">
            <w:pPr>
              <w:rPr>
                <w:b/>
                <w:bCs/>
              </w:rPr>
            </w:pPr>
            <w:r w:rsidRPr="007B2329">
              <w:rPr>
                <w:b/>
                <w:bCs/>
              </w:rPr>
              <w:t>Property Address:</w:t>
            </w:r>
          </w:p>
        </w:tc>
        <w:tc>
          <w:tcPr>
            <w:tcW w:w="5477" w:type="dxa"/>
          </w:tcPr>
          <w:p w14:paraId="0B16054C" w14:textId="007A040A" w:rsidR="003628E8" w:rsidRPr="007B2329" w:rsidRDefault="006301C0" w:rsidP="00BB42FF">
            <w:pPr>
              <w:jc w:val="both"/>
            </w:pPr>
            <w:r w:rsidRPr="007B2329">
              <w:t>87-93 Box Road, Casula</w:t>
            </w:r>
            <w:r w:rsidR="003628E8" w:rsidRPr="007B2329">
              <w:t xml:space="preserve"> </w:t>
            </w:r>
          </w:p>
          <w:p w14:paraId="66D5F246" w14:textId="4F856E54" w:rsidR="003628E8" w:rsidRPr="007B2329" w:rsidRDefault="007B2329" w:rsidP="00BB42FF">
            <w:pPr>
              <w:jc w:val="both"/>
            </w:pPr>
            <w:r w:rsidRPr="007B2329">
              <w:t xml:space="preserve">Lot 201 DP </w:t>
            </w:r>
            <w:proofErr w:type="gramStart"/>
            <w:r w:rsidRPr="007B2329">
              <w:t>701551,SP</w:t>
            </w:r>
            <w:proofErr w:type="gramEnd"/>
            <w:r w:rsidRPr="007B2329">
              <w:t xml:space="preserve"> 83076 and Lot 21 DP 1000072</w:t>
            </w:r>
          </w:p>
        </w:tc>
      </w:tr>
      <w:tr w:rsidR="003628E8" w:rsidRPr="003628E8" w14:paraId="488A0CD8" w14:textId="77777777" w:rsidTr="00BB42FF">
        <w:tc>
          <w:tcPr>
            <w:tcW w:w="3539" w:type="dxa"/>
          </w:tcPr>
          <w:p w14:paraId="2BF24547" w14:textId="77777777" w:rsidR="003628E8" w:rsidRPr="007B2329" w:rsidRDefault="003628E8" w:rsidP="00BB42FF">
            <w:pPr>
              <w:rPr>
                <w:b/>
                <w:bCs/>
              </w:rPr>
            </w:pPr>
            <w:r w:rsidRPr="007B2329">
              <w:rPr>
                <w:b/>
                <w:bCs/>
              </w:rPr>
              <w:t>Development Category:</w:t>
            </w:r>
          </w:p>
        </w:tc>
        <w:tc>
          <w:tcPr>
            <w:tcW w:w="5477" w:type="dxa"/>
          </w:tcPr>
          <w:p w14:paraId="08588F9C" w14:textId="5C594818" w:rsidR="003628E8" w:rsidRPr="007B2329" w:rsidRDefault="003628E8" w:rsidP="00BB42FF">
            <w:pPr>
              <w:jc w:val="both"/>
            </w:pPr>
            <w:r w:rsidRPr="007B2329">
              <w:t>Residential</w:t>
            </w:r>
          </w:p>
        </w:tc>
      </w:tr>
      <w:tr w:rsidR="003628E8" w:rsidRPr="003628E8" w14:paraId="3D6EDED4" w14:textId="77777777" w:rsidTr="00BB42FF">
        <w:tc>
          <w:tcPr>
            <w:tcW w:w="3539" w:type="dxa"/>
          </w:tcPr>
          <w:p w14:paraId="731B84A5" w14:textId="77777777" w:rsidR="003628E8" w:rsidRPr="007B2329" w:rsidRDefault="003628E8" w:rsidP="00BB42FF">
            <w:pPr>
              <w:rPr>
                <w:b/>
                <w:bCs/>
              </w:rPr>
            </w:pPr>
            <w:r w:rsidRPr="007B2329">
              <w:rPr>
                <w:b/>
                <w:bCs/>
              </w:rPr>
              <w:t>Description:</w:t>
            </w:r>
          </w:p>
        </w:tc>
        <w:tc>
          <w:tcPr>
            <w:tcW w:w="5477" w:type="dxa"/>
          </w:tcPr>
          <w:p w14:paraId="01BCA768" w14:textId="0FD5AF1D" w:rsidR="003628E8" w:rsidRPr="007B2329" w:rsidRDefault="00001841" w:rsidP="00BB42FF">
            <w:pPr>
              <w:jc w:val="both"/>
            </w:pPr>
            <w:r w:rsidRPr="007B2329">
              <w:rPr>
                <w:rFonts w:eastAsia="Arial"/>
              </w:rPr>
              <w:t>Demolition of existing structures and the construction of an affordable housing multi dwelling housing development consisting of nine (9) dwellings with strata title subdivision and the construction of a stormwater easement over 91 &amp; 93 Box Road, Casula.</w:t>
            </w:r>
          </w:p>
        </w:tc>
      </w:tr>
      <w:tr w:rsidR="003628E8" w:rsidRPr="003628E8" w14:paraId="76C26F31" w14:textId="77777777" w:rsidTr="00BB42FF">
        <w:tc>
          <w:tcPr>
            <w:tcW w:w="3539" w:type="dxa"/>
          </w:tcPr>
          <w:p w14:paraId="61673EA3" w14:textId="77777777" w:rsidR="003628E8" w:rsidRPr="00842554" w:rsidRDefault="003628E8" w:rsidP="00BB42FF">
            <w:pPr>
              <w:rPr>
                <w:b/>
                <w:bCs/>
              </w:rPr>
            </w:pPr>
            <w:r w:rsidRPr="00842554">
              <w:rPr>
                <w:b/>
                <w:bCs/>
              </w:rPr>
              <w:t>Environmental Planning Instrument:</w:t>
            </w:r>
          </w:p>
        </w:tc>
        <w:tc>
          <w:tcPr>
            <w:tcW w:w="5477" w:type="dxa"/>
          </w:tcPr>
          <w:p w14:paraId="50DAD8F7" w14:textId="77777777" w:rsidR="003628E8" w:rsidRPr="00842554" w:rsidRDefault="003628E8" w:rsidP="00BB42FF">
            <w:pPr>
              <w:jc w:val="both"/>
            </w:pPr>
            <w:r w:rsidRPr="00842554">
              <w:t>Liverpool LEP 2008</w:t>
            </w:r>
          </w:p>
        </w:tc>
      </w:tr>
      <w:tr w:rsidR="003628E8" w:rsidRPr="003628E8" w14:paraId="421C1CCC" w14:textId="77777777" w:rsidTr="00BB42FF">
        <w:tc>
          <w:tcPr>
            <w:tcW w:w="3539" w:type="dxa"/>
          </w:tcPr>
          <w:p w14:paraId="1C30A77C" w14:textId="77777777" w:rsidR="003628E8" w:rsidRPr="00842554" w:rsidRDefault="003628E8" w:rsidP="00BB42FF">
            <w:pPr>
              <w:rPr>
                <w:b/>
                <w:bCs/>
              </w:rPr>
            </w:pPr>
            <w:r w:rsidRPr="00842554">
              <w:rPr>
                <w:b/>
                <w:bCs/>
              </w:rPr>
              <w:t>Zoning of Land:</w:t>
            </w:r>
          </w:p>
        </w:tc>
        <w:tc>
          <w:tcPr>
            <w:tcW w:w="5477" w:type="dxa"/>
          </w:tcPr>
          <w:p w14:paraId="1195FD1E" w14:textId="729BDB94" w:rsidR="003628E8" w:rsidRPr="00842554" w:rsidRDefault="003628E8" w:rsidP="00BB42FF">
            <w:pPr>
              <w:jc w:val="both"/>
            </w:pPr>
            <w:r w:rsidRPr="00842554">
              <w:t>R</w:t>
            </w:r>
            <w:r w:rsidR="00001841" w:rsidRPr="00842554">
              <w:t>3</w:t>
            </w:r>
            <w:r w:rsidRPr="00842554">
              <w:t xml:space="preserve"> – </w:t>
            </w:r>
            <w:r w:rsidR="00001841" w:rsidRPr="00842554">
              <w:t>Medium</w:t>
            </w:r>
            <w:r w:rsidRPr="00842554">
              <w:t xml:space="preserve"> Density Residential</w:t>
            </w:r>
            <w:r w:rsidR="003E5CE1" w:rsidRPr="00842554">
              <w:t xml:space="preserve"> &amp; RE1 – Public Recreation</w:t>
            </w:r>
          </w:p>
        </w:tc>
      </w:tr>
      <w:tr w:rsidR="003628E8" w:rsidRPr="003628E8" w14:paraId="64E6B853" w14:textId="77777777" w:rsidTr="00BB42FF">
        <w:tc>
          <w:tcPr>
            <w:tcW w:w="3539" w:type="dxa"/>
          </w:tcPr>
          <w:p w14:paraId="4B89A117" w14:textId="77777777" w:rsidR="003628E8" w:rsidRPr="00302817" w:rsidRDefault="003628E8" w:rsidP="00BB42FF">
            <w:pPr>
              <w:rPr>
                <w:b/>
                <w:bCs/>
              </w:rPr>
            </w:pPr>
            <w:r w:rsidRPr="00302817">
              <w:rPr>
                <w:b/>
                <w:bCs/>
              </w:rPr>
              <w:t>Development Standard Varied:</w:t>
            </w:r>
          </w:p>
        </w:tc>
        <w:tc>
          <w:tcPr>
            <w:tcW w:w="5477" w:type="dxa"/>
          </w:tcPr>
          <w:p w14:paraId="79F5C72B" w14:textId="5B7D5848" w:rsidR="003628E8" w:rsidRPr="00302817" w:rsidRDefault="003628E8" w:rsidP="00BB42FF">
            <w:pPr>
              <w:jc w:val="both"/>
            </w:pPr>
            <w:r w:rsidRPr="00302817">
              <w:t xml:space="preserve">Clause </w:t>
            </w:r>
            <w:r w:rsidR="00302817" w:rsidRPr="00302817">
              <w:t>18(2)(j) of State Environmental Planning Policy (Housing) 2021.</w:t>
            </w:r>
          </w:p>
        </w:tc>
      </w:tr>
      <w:tr w:rsidR="003628E8" w:rsidRPr="003628E8" w14:paraId="618F2EBB" w14:textId="77777777" w:rsidTr="00BB42FF">
        <w:tc>
          <w:tcPr>
            <w:tcW w:w="3539" w:type="dxa"/>
          </w:tcPr>
          <w:p w14:paraId="023A442A" w14:textId="77777777" w:rsidR="003628E8" w:rsidRPr="00567163" w:rsidRDefault="003628E8" w:rsidP="00BB42FF">
            <w:pPr>
              <w:rPr>
                <w:b/>
                <w:bCs/>
              </w:rPr>
            </w:pPr>
            <w:r w:rsidRPr="00567163">
              <w:rPr>
                <w:b/>
                <w:bCs/>
              </w:rPr>
              <w:t>Justification of Variation:</w:t>
            </w:r>
          </w:p>
        </w:tc>
        <w:tc>
          <w:tcPr>
            <w:tcW w:w="5477" w:type="dxa"/>
          </w:tcPr>
          <w:p w14:paraId="03C6254F" w14:textId="77777777" w:rsidR="00CC0F3F" w:rsidRDefault="00137A1D" w:rsidP="00137A1D">
            <w:pPr>
              <w:jc w:val="both"/>
            </w:pPr>
            <w:r w:rsidRPr="00567163">
              <w:t xml:space="preserve">The proposed variation to the minimum dwelling size development standard as prescribed by Clause 18(2)(j) of Housing SEPP 2021 </w:t>
            </w:r>
            <w:proofErr w:type="gramStart"/>
            <w:r w:rsidRPr="00567163">
              <w:t>is considered to be</w:t>
            </w:r>
            <w:proofErr w:type="gramEnd"/>
            <w:r w:rsidRPr="00567163">
              <w:t xml:space="preserve"> unreasonable or </w:t>
            </w:r>
            <w:r w:rsidR="00567163" w:rsidRPr="00567163">
              <w:t>unnecessary</w:t>
            </w:r>
            <w:r w:rsidRPr="00567163">
              <w:t xml:space="preserve"> due to the circumstances of the case and that there are </w:t>
            </w:r>
            <w:r w:rsidR="00567163" w:rsidRPr="00567163">
              <w:t>sufficient</w:t>
            </w:r>
            <w:r w:rsidRPr="00567163">
              <w:t xml:space="preserve"> environmental planning grounds to justify </w:t>
            </w:r>
            <w:r w:rsidR="00567163" w:rsidRPr="00567163">
              <w:t>contravening</w:t>
            </w:r>
            <w:r w:rsidRPr="00567163">
              <w:t xml:space="preserve"> the development standard.</w:t>
            </w:r>
          </w:p>
          <w:p w14:paraId="2ABBA736" w14:textId="77777777" w:rsidR="00CC0F3F" w:rsidRDefault="00CC0F3F" w:rsidP="00137A1D">
            <w:pPr>
              <w:jc w:val="both"/>
            </w:pPr>
          </w:p>
          <w:p w14:paraId="1D6B167E" w14:textId="1ACD9D67" w:rsidR="00137A1D" w:rsidRPr="00567163" w:rsidRDefault="00137A1D" w:rsidP="00137A1D">
            <w:pPr>
              <w:jc w:val="both"/>
            </w:pPr>
            <w:r w:rsidRPr="00567163">
              <w:t xml:space="preserve">The DA is fully </w:t>
            </w:r>
            <w:r w:rsidR="000B33EC">
              <w:t>compliant</w:t>
            </w:r>
            <w:r w:rsidR="000B33EC" w:rsidRPr="00567163">
              <w:t xml:space="preserve"> </w:t>
            </w:r>
            <w:r w:rsidRPr="00567163">
              <w:t xml:space="preserve">with the provisions of the relevant SEPP’s and the LLEP 2008. The development proposes residential development that can accommodate dwellings </w:t>
            </w:r>
            <w:r w:rsidR="00CC0F3F">
              <w:t>that</w:t>
            </w:r>
            <w:r w:rsidR="00CC0F3F" w:rsidRPr="00567163">
              <w:t xml:space="preserve"> </w:t>
            </w:r>
            <w:r w:rsidRPr="00567163">
              <w:t xml:space="preserve">achieve appropriate amenity based on full compliance with relevant state and local policies. </w:t>
            </w:r>
            <w:r w:rsidR="00CC0F3F">
              <w:t xml:space="preserve">Separately, </w:t>
            </w:r>
            <w:r w:rsidR="00755154">
              <w:t>the</w:t>
            </w:r>
            <w:r w:rsidRPr="00567163">
              <w:t xml:space="preserve"> smaller dwelling size is unlikely to </w:t>
            </w:r>
            <w:r w:rsidR="00567163" w:rsidRPr="00567163">
              <w:t>impact</w:t>
            </w:r>
            <w:r w:rsidRPr="00567163">
              <w:t xml:space="preserve"> on the residential amenity of </w:t>
            </w:r>
            <w:r w:rsidR="00755154">
              <w:t>for future occupants</w:t>
            </w:r>
            <w:r w:rsidRPr="00567163">
              <w:t xml:space="preserve"> and the proposal is of an appropriate bulk and scale, density and character for the surrounding area and is considered acceptable.</w:t>
            </w:r>
          </w:p>
          <w:p w14:paraId="304A9B7E" w14:textId="77777777" w:rsidR="00137A1D" w:rsidRPr="00567163" w:rsidRDefault="00137A1D" w:rsidP="00137A1D">
            <w:pPr>
              <w:jc w:val="both"/>
            </w:pPr>
          </w:p>
          <w:p w14:paraId="6B601EEC" w14:textId="7111EFBA" w:rsidR="003628E8" w:rsidRPr="00567163" w:rsidRDefault="00137A1D" w:rsidP="00137A1D">
            <w:pPr>
              <w:jc w:val="both"/>
            </w:pPr>
            <w:r w:rsidRPr="00567163">
              <w:t xml:space="preserve">The required size of a </w:t>
            </w:r>
            <w:proofErr w:type="gramStart"/>
            <w:r w:rsidRPr="00567163">
              <w:t>three bedroom</w:t>
            </w:r>
            <w:proofErr w:type="gramEnd"/>
            <w:r w:rsidRPr="00567163">
              <w:t xml:space="preserve"> unit is 115sqm under the provisions of the Housing SEPP 2021 and seven of the nine dwellings do not comply. It is also noted that the previous provisions of the SEPP (Affordable Rental Housing) 2009 only specified a 90sqm requirement for a three-bedroom dwelling, in which </w:t>
            </w:r>
            <w:r w:rsidR="00755154">
              <w:t>a</w:t>
            </w:r>
            <w:r w:rsidR="00755154" w:rsidRPr="00567163">
              <w:t xml:space="preserve"> </w:t>
            </w:r>
            <w:r w:rsidRPr="00567163">
              <w:t>previous application</w:t>
            </w:r>
            <w:r w:rsidR="00755154">
              <w:t xml:space="preserve"> for the site</w:t>
            </w:r>
            <w:r w:rsidRPr="00567163">
              <w:t xml:space="preserve">, DA-725/2021 </w:t>
            </w:r>
            <w:proofErr w:type="gramStart"/>
            <w:r w:rsidRPr="00567163">
              <w:t>was in compliance with</w:t>
            </w:r>
            <w:proofErr w:type="gramEnd"/>
            <w:r w:rsidRPr="00567163">
              <w:t>. The largest non-</w:t>
            </w:r>
            <w:r w:rsidR="00567163" w:rsidRPr="00567163">
              <w:t>compliance</w:t>
            </w:r>
            <w:r w:rsidRPr="00567163">
              <w:t xml:space="preserve"> </w:t>
            </w:r>
            <w:r w:rsidR="00567163" w:rsidRPr="00567163">
              <w:t>is</w:t>
            </w:r>
            <w:r w:rsidRPr="00567163">
              <w:t xml:space="preserve"> 15.2% for two of the units which are 97.5sqm in size (17.5sqm below the requirement).</w:t>
            </w:r>
          </w:p>
        </w:tc>
      </w:tr>
      <w:tr w:rsidR="003628E8" w:rsidRPr="003628E8" w14:paraId="448065E8" w14:textId="77777777" w:rsidTr="00BB42FF">
        <w:tc>
          <w:tcPr>
            <w:tcW w:w="3539" w:type="dxa"/>
          </w:tcPr>
          <w:p w14:paraId="4D00A475" w14:textId="77777777" w:rsidR="003628E8" w:rsidRPr="00567163" w:rsidRDefault="003628E8" w:rsidP="00BB42FF">
            <w:pPr>
              <w:rPr>
                <w:b/>
                <w:bCs/>
              </w:rPr>
            </w:pPr>
            <w:r w:rsidRPr="00567163">
              <w:rPr>
                <w:b/>
                <w:bCs/>
              </w:rPr>
              <w:t>Extent of Variation:</w:t>
            </w:r>
          </w:p>
        </w:tc>
        <w:tc>
          <w:tcPr>
            <w:tcW w:w="5477" w:type="dxa"/>
          </w:tcPr>
          <w:p w14:paraId="2CB20541" w14:textId="47FA06F7" w:rsidR="003628E8" w:rsidRPr="00567163" w:rsidRDefault="00137A1D" w:rsidP="00BB42FF">
            <w:pPr>
              <w:jc w:val="both"/>
            </w:pPr>
            <w:r w:rsidRPr="00567163">
              <w:t>17.5sqm / 15.2%</w:t>
            </w:r>
          </w:p>
        </w:tc>
      </w:tr>
      <w:tr w:rsidR="003628E8" w:rsidRPr="003628E8" w14:paraId="15C33EFA" w14:textId="77777777" w:rsidTr="00BB42FF">
        <w:tc>
          <w:tcPr>
            <w:tcW w:w="3539" w:type="dxa"/>
          </w:tcPr>
          <w:p w14:paraId="0CD24037" w14:textId="77777777" w:rsidR="003628E8" w:rsidRPr="00567163" w:rsidRDefault="003628E8" w:rsidP="00BB42FF">
            <w:pPr>
              <w:rPr>
                <w:b/>
                <w:bCs/>
              </w:rPr>
            </w:pPr>
            <w:r w:rsidRPr="00567163">
              <w:rPr>
                <w:b/>
                <w:bCs/>
              </w:rPr>
              <w:t>Concurring Authority:</w:t>
            </w:r>
          </w:p>
        </w:tc>
        <w:tc>
          <w:tcPr>
            <w:tcW w:w="5477" w:type="dxa"/>
          </w:tcPr>
          <w:p w14:paraId="78F623AB" w14:textId="03DCEAE0" w:rsidR="003628E8" w:rsidRPr="00567163" w:rsidRDefault="00755154" w:rsidP="00BB42FF">
            <w:pPr>
              <w:jc w:val="both"/>
            </w:pPr>
            <w:r>
              <w:t>Liverpool Local Planning Panel</w:t>
            </w:r>
            <w:r w:rsidRPr="00567163">
              <w:t xml:space="preserve"> </w:t>
            </w:r>
            <w:r w:rsidR="003628E8" w:rsidRPr="00567163">
              <w:t>under assumed concurrence</w:t>
            </w:r>
          </w:p>
        </w:tc>
      </w:tr>
      <w:tr w:rsidR="003628E8" w:rsidRPr="003628E8" w14:paraId="694ACA40" w14:textId="77777777" w:rsidTr="00BB42FF">
        <w:tc>
          <w:tcPr>
            <w:tcW w:w="3539" w:type="dxa"/>
          </w:tcPr>
          <w:p w14:paraId="7E53A700" w14:textId="77777777" w:rsidR="003628E8" w:rsidRPr="00567163" w:rsidRDefault="003628E8" w:rsidP="00BB42FF">
            <w:pPr>
              <w:rPr>
                <w:b/>
                <w:bCs/>
              </w:rPr>
            </w:pPr>
            <w:r w:rsidRPr="00567163">
              <w:rPr>
                <w:b/>
                <w:bCs/>
              </w:rPr>
              <w:t>Date Determined:</w:t>
            </w:r>
          </w:p>
        </w:tc>
        <w:tc>
          <w:tcPr>
            <w:tcW w:w="5477" w:type="dxa"/>
          </w:tcPr>
          <w:p w14:paraId="6A3AB551" w14:textId="3362F1D2" w:rsidR="003628E8" w:rsidRPr="00567163" w:rsidRDefault="00137A1D" w:rsidP="00BB42FF">
            <w:pPr>
              <w:jc w:val="both"/>
            </w:pPr>
            <w:r w:rsidRPr="00567163">
              <w:t>28 November</w:t>
            </w:r>
            <w:r w:rsidR="003628E8" w:rsidRPr="00567163">
              <w:t xml:space="preserve"> 2022</w:t>
            </w:r>
          </w:p>
        </w:tc>
      </w:tr>
    </w:tbl>
    <w:p w14:paraId="61B093AA" w14:textId="77777777" w:rsidR="00FF2440" w:rsidRPr="00CF6020" w:rsidRDefault="00FF2440" w:rsidP="00CF6020"/>
    <w:sectPr w:rsidR="00FF2440" w:rsidRPr="00CF6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20"/>
    <w:rsid w:val="00001841"/>
    <w:rsid w:val="00062B54"/>
    <w:rsid w:val="000B33EC"/>
    <w:rsid w:val="00137A1D"/>
    <w:rsid w:val="00202596"/>
    <w:rsid w:val="002C1750"/>
    <w:rsid w:val="00302817"/>
    <w:rsid w:val="003628E8"/>
    <w:rsid w:val="003879BD"/>
    <w:rsid w:val="003C3FF7"/>
    <w:rsid w:val="003E5CE1"/>
    <w:rsid w:val="00495AC2"/>
    <w:rsid w:val="004E00B4"/>
    <w:rsid w:val="00506A86"/>
    <w:rsid w:val="00567163"/>
    <w:rsid w:val="006301C0"/>
    <w:rsid w:val="00704AB5"/>
    <w:rsid w:val="00755154"/>
    <w:rsid w:val="007B2329"/>
    <w:rsid w:val="00842554"/>
    <w:rsid w:val="008D48D0"/>
    <w:rsid w:val="008E2C17"/>
    <w:rsid w:val="009D01EB"/>
    <w:rsid w:val="009E072B"/>
    <w:rsid w:val="00A14AF9"/>
    <w:rsid w:val="00AA1A8F"/>
    <w:rsid w:val="00CC0F3F"/>
    <w:rsid w:val="00CF29E5"/>
    <w:rsid w:val="00CF6020"/>
    <w:rsid w:val="00E85599"/>
    <w:rsid w:val="00ED6895"/>
    <w:rsid w:val="00EE4029"/>
    <w:rsid w:val="00F66A70"/>
    <w:rsid w:val="00FF2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DDD5"/>
  <w15:chartTrackingRefBased/>
  <w15:docId w15:val="{C15A5A16-07F6-4EB5-9A64-41494FF8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F7"/>
    <w:pPr>
      <w:spacing w:after="0" w:line="240" w:lineRule="auto"/>
    </w:pPr>
  </w:style>
  <w:style w:type="character" w:styleId="CommentReference">
    <w:name w:val="annotation reference"/>
    <w:basedOn w:val="DefaultParagraphFont"/>
    <w:uiPriority w:val="99"/>
    <w:semiHidden/>
    <w:unhideWhenUsed/>
    <w:rsid w:val="003C3FF7"/>
    <w:rPr>
      <w:sz w:val="16"/>
      <w:szCs w:val="16"/>
    </w:rPr>
  </w:style>
  <w:style w:type="paragraph" w:styleId="CommentText">
    <w:name w:val="annotation text"/>
    <w:basedOn w:val="Normal"/>
    <w:link w:val="CommentTextChar"/>
    <w:uiPriority w:val="99"/>
    <w:unhideWhenUsed/>
    <w:rsid w:val="003C3FF7"/>
    <w:pPr>
      <w:spacing w:line="240" w:lineRule="auto"/>
    </w:pPr>
    <w:rPr>
      <w:sz w:val="20"/>
      <w:szCs w:val="20"/>
    </w:rPr>
  </w:style>
  <w:style w:type="character" w:customStyle="1" w:styleId="CommentTextChar">
    <w:name w:val="Comment Text Char"/>
    <w:basedOn w:val="DefaultParagraphFont"/>
    <w:link w:val="CommentText"/>
    <w:uiPriority w:val="99"/>
    <w:rsid w:val="003C3FF7"/>
    <w:rPr>
      <w:sz w:val="20"/>
      <w:szCs w:val="20"/>
    </w:rPr>
  </w:style>
  <w:style w:type="paragraph" w:styleId="CommentSubject">
    <w:name w:val="annotation subject"/>
    <w:basedOn w:val="CommentText"/>
    <w:next w:val="CommentText"/>
    <w:link w:val="CommentSubjectChar"/>
    <w:uiPriority w:val="99"/>
    <w:semiHidden/>
    <w:unhideWhenUsed/>
    <w:rsid w:val="003C3FF7"/>
    <w:rPr>
      <w:b/>
      <w:bCs/>
    </w:rPr>
  </w:style>
  <w:style w:type="character" w:customStyle="1" w:styleId="CommentSubjectChar">
    <w:name w:val="Comment Subject Char"/>
    <w:basedOn w:val="CommentTextChar"/>
    <w:link w:val="CommentSubject"/>
    <w:uiPriority w:val="99"/>
    <w:semiHidden/>
    <w:rsid w:val="003C3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879</Words>
  <Characters>4882</Characters>
  <Application>Microsoft Office Word</Application>
  <DocSecurity>0</DocSecurity>
  <Lines>195</Lines>
  <Paragraphs>92</Paragraphs>
  <ScaleCrop>false</ScaleCrop>
  <Company>Liverpool City Council</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Micallef</dc:creator>
  <cp:keywords/>
  <dc:description/>
  <cp:lastModifiedBy>Sharon Zunic</cp:lastModifiedBy>
  <cp:revision>33</cp:revision>
  <dcterms:created xsi:type="dcterms:W3CDTF">2023-01-30T00:49:00Z</dcterms:created>
  <dcterms:modified xsi:type="dcterms:W3CDTF">2023-02-03T00:11:00Z</dcterms:modified>
</cp:coreProperties>
</file>